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(1_piel_24_TA_440_IZM)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"Pirmās kārtas īstenošanas nosacījumi" ar pamatojumu pie tiešajām attiecināmajām izmaksām pirmās kārtas ietvaros iekļaut pozīciju "konsultatīvais atbalsts otrās kārtas projekta iesniedzējiem" (attiecīgi MK noteikumu projekta 18.4 un 21.1.2.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iesniedzējs pirmajā kārtā ir VPC, kuras līdzdibinātāji un vienlaicīgi </w:t>
            </w:r>
            <w:r w:rsidR="00000000" w:rsidRPr="00000000" w:rsidDel="00000000">
              <w:rPr>
                <w:b w:val="1"/>
                <w:rtl w:val="0"/>
              </w:rPr>
              <w:t xml:space="preserve">sadarbības partneri</w:t>
            </w:r>
            <w:r w:rsidR="00000000" w:rsidRPr="00000000" w:rsidDel="00000000">
              <w:rPr>
                <w:rtl w:val="0"/>
              </w:rPr>
              <w:t xml:space="preserve"> ir visas zinātnes universitātes. Līdz ar to rodas situācija, kurā finansējums par konsultāciju tiek piešķirts tām iestādēm, kuras saņem šo konsultāciju.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Ingvars Kudeikins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11.03.2025. 18.30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11.03.2025. 18.30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