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kā n gadu norādot 2025.gadu, izmaiņu ailēs atspoguļojot finansējuma samazinājumu un 6.punktā norādot tam pamatojumu, savukārt punktā "Cita informācija" sniedzot informāciju par attiecīgā finansējuma pārdali citai investīcijai. Vienlaikus lūdzam punktā "Cita informācija" norādīt Ekonomikas ministrijas budžeta programmu, kurā ir ieplānots finansējums 2.3.1.2.i. investīcijas "Uzņēmumu digitālo prasmju attīstība" īstenošanai anotācijas 2., 4 un 6.ailē norādītajā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apmācību skaits uzņēmumos, kam nodrošināta digitālo pamatprasmju apguve līdz 2024. gada 30. jūnijam, – 628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īstenošanas noteikumi" (turpmāk – MK noteikumi) 9. punktā noteiktā rādītāja nosaukumu tuvāk Eiropas Komisijas piedāvātajai Padomes īstenošanas lēmuma redakcijai angļu valodā - </w:t>
            </w:r>
            <w:r w:rsidR="00000000" w:rsidRPr="00000000" w:rsidDel="00000000">
              <w:rPr>
                <w:b w:val="1"/>
                <w:i w:val="1"/>
                <w:rtl w:val="0"/>
              </w:rPr>
              <w:t xml:space="preserve">Number of trainings on basic digital skills provided to enterprises,</w:t>
            </w:r>
            <w:r w:rsidR="00000000" w:rsidRPr="00000000" w:rsidDel="00000000">
              <w:rPr>
                <w:rtl w:val="0"/>
              </w:rPr>
              <w:t xml:space="preserve"> piemēram, "uzņēmumiem nodrošināto apmācību skaits digitālo pamatprasmju apguvei".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ir noteikts šāds atbalstīto gala labuma guvēju kopējais rādītājs – izglītības vai apmācības dalībnieku skaits (komersantos apmācīto personu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Finanšu ministrijas iebildumā bija lūgts svītrot </w:t>
            </w:r>
            <w:r w:rsidR="00000000" w:rsidRPr="00000000" w:rsidDel="00000000">
              <w:rPr>
                <w:b w:val="1"/>
                <w:rtl w:val="0"/>
              </w:rPr>
              <w:t xml:space="preserve">grozījumu </w:t>
            </w:r>
            <w:r w:rsidR="00000000" w:rsidRPr="00000000" w:rsidDel="00000000">
              <w:rPr>
                <w:rtl w:val="0"/>
              </w:rPr>
              <w:t xml:space="preserve">MK noteikumu 9.2.apakšpunktā par uzraudzības rādītāju </w:t>
            </w:r>
            <w:r w:rsidR="00000000" w:rsidRPr="00000000" w:rsidDel="00000000">
              <w:rPr>
                <w:b w:val="1"/>
                <w:rtl w:val="0"/>
              </w:rPr>
              <w:t xml:space="preserve">nevis pašu punktu</w:t>
            </w:r>
            <w:r w:rsidR="00000000" w:rsidRPr="00000000" w:rsidDel="00000000">
              <w:rPr>
                <w:rtl w:val="0"/>
              </w:rPr>
              <w:t xml:space="preserve">, lūgums MK noteikumu 9.2.apakšpunktu atstāt šobrīd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80.6. finanšu un apdrošināšanas darbībai (NACE 2.1. red. L sadaļa "Finanšu un apdrošināšanas darbības"),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ietvaros atbalsts tiek sniegts vai nu saskaņā ar Komisijas 2014. gada 17. jūnija Regulas (ES) Nr. 651/2014, ar ko noteiktas atbalsta kategorijas atzīst par saderīgām ar iekšējo tirgu, piemērojot Līguma 107. un 108. pantu, (turpmāk – Komisijas regula Nr.651/2014) 31.pantu, vai ar Komisijas 2023. gada 13. decembra Regulu (ES) 2023/2831 par Līguma par Eiropas Savienības darbību 107. un 108. panta piemērošanu de minimis atbalstam, kas neparedz aizliegumu piešķirt atbalstu uzņēmumiem, kas darbojas Komisijas regulas Nr.651/2014 13. panta "a", "b", "c", "d" apakšpunktā noteiktajās neatbalstāmajās nozarēs un darbībās, t.sk. finanšu un apdrošināšanas nozarē, aicinām izvērtēt nepieciešamību noteikt stingrākas prasības MK noteikumu 80.6., 80.11. un 80.12.apakšpunktos, paredzot ierobežojumu piešķirt komercdarbības atbalsta sniegšanai uzņēmumiem finanšu un apdrošināšanas nozarē. Turklāt vēršam uzmanību, ka MK noteikumu 80.6., 80.11. un 80.12.apakšpunkti ir savstarpēji pretrunīgi un daļēji dublējoši. Lai nodrošinātu, ka atbalsta programmas ietvaros netiek noteiktas stingrākas prasības attiecībā uz atbalsta piešķiršanu finanšu un apdrošināšanas nozares uzņēmumiem, aicinām svītrot MK noteikumu 80.6. un 80.12.apakšpunktus, kā arī svītrot MK noteikumu plānotajā 80.11.apakšpunkta redakcijā ietvertos vārdus “un 13. panta "a", "b", "c" un "d" apakšpunktā” un “</w:t>
            </w:r>
            <w:r w:rsidR="00000000" w:rsidRPr="00000000" w:rsidDel="00000000">
              <w:rPr>
                <w:i w:val="1"/>
                <w:rtl w:val="0"/>
              </w:rPr>
              <w:t xml:space="preserve">izņemot finanšu tehnoloģiju uzņēmumus jeb tādus uzņēmumus, kas attīsta jaunus biznesa modeļus, iedzīvina inovācijas, veido jaunus finanšu produktus un pakalpojumus, pilnveido pakalpojumu sniegšanas veidus un biznesa modeļus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Jtiek pārkāptas Komisijas regulas Nr. 651/2014 prasības, finansējuma saņēmējs uzliek par pienākumu gala labuma guvējam atmaksāt finansējuma saņēmējam visu projekta ietvaros saņemto nelikumīgo komercdarbības atbalstu. Finansējuma saņēmējam ir pienākums atmaksāt aģentūrai visu projekta ietvaros saņemto nelikumīgo valsts atbalstu. Finansējuma saņēmējam ir pienākums atmaksāt aģentūrai no gala labuma guvēja atgūto nelikumīgo komercdarbības atbalstu, atbalstu atmaksā kopā ar procentiem, kurus aprēķina no dienas, kad valsts atbalsts tika izmaksāts gala labuma guvējam, līdz tā atgūšanas dienai,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vienotu terminoloģiju, lūdzam precizēt MK noteikumu 91. punktu, aizstājot vārdu "valsts" ar vārdu "komercdarbības". Pēc analoģijas aicinām precizēt arī MK noteikumu 92.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05.02.2025.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24-TA-2284</w:t>
    </w:r>
    <w:r>
      <w:br/>
    </w:r>
    <w:r w:rsidR="00000000" w:rsidRPr="00000000" w:rsidDel="00000000">
      <w:rPr>
        <w:rtl w:val="0"/>
      </w:rPr>
      <w:t xml:space="preserve">Izdrukāts 05.02.2025.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Atzinumi_24-TA-2284.docx</dc:title>
</cp:coreProperties>
</file>

<file path=docProps/custom.xml><?xml version="1.0" encoding="utf-8"?>
<Properties xmlns="http://schemas.openxmlformats.org/officeDocument/2006/custom-properties" xmlns:vt="http://schemas.openxmlformats.org/officeDocument/2006/docPropsVTypes"/>
</file>