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(ja nepieciešams) anotācijas 1.3.sadaļas (tabulā) sniegto informāciju par atvasinātas publiska personas "Latvijas Biomedicīnas pētījumu un studiju centrs"  īstenoto projektu "Informācijas tehnoloģiju infrastruktūras izveide Latvijas iedzīvotāju references genoma glabāšanai”. Šī brīža anotācijas 1.3.sadaļas (tabula) redakcijā pie projekta "Informācijas tehnoloģiju infrastruktūras izveide Latvijas iedzīvotāju references genoma glabāšanai” minēts “ja likumprojekts “Biobanku likums” (22-TA-2110) un Ministru kabineta noteikumi par vienotas genoma references infrastruktūrā iekļaujamās informācijas saturu, apjomu, apstrādes un pārvaldības nosacījumiem tiks apstiprināti pēc 2026. gada 31. maija, tiks izvērtēts, vai projektā nav nepieciešams veikt papildu ieviešanas darbības, lai nodrošinātu tiesisku sistēmas lietošanu līdz minētā normatīvā regulējuma stāšanās spēkā.” Iepriekš minētais ir pretrunā ar anotācijā ietverto nosacījumu: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termiņa pagarinājums ir iespējams tikai pie nosacījuma, ka projekta pases 3.3 sadaļā norādītie ieguvumi un 5.sadaļā norādītie ieguldījumi reformu un investīciju mērķu rādītāju sasniegšanā ir sasniegti ne vēlāk kā 2026.gada 31.maijā, kā arī nepieciešamais normatīvais regulējums projekta rezultātu darbināšanai ir apstiprināts”. (CFLA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sniegt skaidrojumu un papildināt anotācijas 1.3.sadaļu ar informāciju, vai ieguldījumi investīcijas 2.1.2.2.i. projektu īstenotāju infrastruktūrā konkrētu projektu mērķim un vajadzībām atbilst valsts elektronisko sakaru pakalpojumu centra mērķim un sniegto pakalpojumu tvērumam atbilstoši Ministru kabineta 2022.gada 8.novembra instrukcijai Nr. 5 "Valsts elektronisko sakaru pakalpojumu centra nodrošināšanas kārtība". Šobrīd anotācijas 1.3.sadaļā minēts, ka ''Lai mazinātu birokrātisko slogu par jaunu sadarbības partneru (2.1.2.2.i. projektu īstenotāju) piesaisti projekta pases līmenī, tiks piemērota Ministru kabineta 2022.gada 8.novembra instrukcijā Nr. 5 "Valsts elektronisko sakaru pakalpojumu centra nodrošināšanas kārtība" noteiktā procedūra slēdzot pakalpojuma līgumu. Vienlaicīgi projekta īstenotājam būs nepieciešams projekta iesniegumā iekļaut detalizētu skaidrojumu par pakalpojumu apjomu, kas nepieciešams projekta ilgtspējīgas darbības nodrošināšanai.'' (CFLA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starp nozares ministrijām un CFLA, aicinām anotācijas 1.3.sadaļā sniegto skaidrojumu par audita ziņojuma iesniegšanas termiņu papildināt ar vārdiem un cipariem "bet ne vēlāk kā līdz 30.06.2026.".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skaidrot anotācijas 1.3.sadaļā iekļautā papildinājuma, kas paredz “Ja 1.pielikumā norādītais projekta īstenotājs projekta noslēgumā konstatē, ka projekta īstenošanas termiņam nav nepieciešams pagarinājums, tad pēc projekta rādītāju sasniegšanas un noslēguma progresa pārskata iesniegšanas papildu darbības nav jāveic” nepieciešamību, ņemot vērā, ka šīs pašas rindkopā iekļautais skaidrojums jau paredz iespēju Kohēzijas politikas fondu vadības informācijas sistēmā neiesniegt pieteikumu līguma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līdz 2026. gada 31. maijam iesniedz projektu rādītāju sasniegšanu pamatojošo dokumentāciju saskaņā ar projekta īstenošanas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ņemot vērā, ka plānotie grozījumi vairs neparedz normu par termiņu, kādā iesniedzama </w:t>
            </w:r>
            <w:r w:rsidR="00000000" w:rsidRPr="00000000" w:rsidDel="00000000">
              <w:rPr>
                <w:u w:val="single"/>
                <w:rtl w:val="0"/>
              </w:rPr>
              <w:t xml:space="preserve">noslēguma maksājuma dokumentācija</w:t>
            </w:r>
            <w:r w:rsidR="00000000" w:rsidRPr="00000000" w:rsidDel="00000000">
              <w:rPr>
                <w:rtl w:val="0"/>
              </w:rPr>
              <w:t xml:space="preserve">, tostarp ņemot vērā, ka daļa projektu tiks īstenota atbilstoši sākotnēji paredzētajam termiņam, t.i., līdz 2026. gada 31. maijam, neveicot papildinošās aktivitātes pēc minētā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daļa projektu tiks īstenota atbilstoši sākotnēji paredzētajam termiņam, t.i., līdz 2026. gada 31. maijam, lūdzam izvērtēt nepieciešamību precizēt arī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16.3.8. un 18.1.4. apakšpunkta redakciju vai papildināt noteikumu projektu ar jauniem atbilstošiem punktiem, kas attiektos uz projektiem, kuri tiek īstenoti līdz 2026. gada 31. 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2.1. reformu un investīciju virziena mērķi, kuros pienesumu sniedz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grozītais 1. pielikums pēc būtības atšķiras no noteikumu Nr. 435 1. pielikuma spēkā esošās redakcijas, lūdzam izvērtēt iespēju nevis aizstāt spēkā esošo 1. pielikumu, bet papildināt noteikumus Nr. 435 ar jaunu attiecīgo pielikumu, kurā tiktu iekļauta informācija par </w:t>
            </w:r>
            <w:r w:rsidR="00000000" w:rsidRPr="00000000" w:rsidDel="00000000">
              <w:rPr>
                <w:i w:val="1"/>
                <w:rtl w:val="0"/>
              </w:rPr>
              <w:t xml:space="preserve">Atveseļošanas un noturības mehānisma plāna 2.1. reformu un investīciju virziena mērķiem, kuros pienesumu sniedz projekti,</w:t>
            </w:r>
            <w:r w:rsidR="00000000" w:rsidRPr="00000000" w:rsidDel="00000000">
              <w:rPr>
                <w:rtl w:val="0"/>
              </w:rPr>
              <w:t xml:space="preserve"> atbilstoši precizējot atsauces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Nr. 435 5. punktā ietverta atsauce uz 1. pielikumu, un tā ir atbilstoša 1. pielikuma spēkā esošajai, nevis precizētajai,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01.04.2026.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01.04.2026.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