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1</w:t>
            </w:r>
            <w:r w:rsidR="00000000" w:rsidRPr="00000000" w:rsidDel="00000000">
              <w:rPr>
                <w:rtl w:val="0"/>
              </w:rPr>
              <w:t xml:space="preserve"> daļā vārdus "elektroenerģijas ražošanas iekārtas, kuras" ar vārdiem "ražotāju, kura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ieskatā likuma 9.panta 4.</w:t>
            </w:r>
            <w:r w:rsidR="00000000" w:rsidRPr="00000000" w:rsidDel="00000000">
              <w:rPr>
                <w:vertAlign w:val="superscript"/>
                <w:rtl w:val="0"/>
              </w:rPr>
              <w:t xml:space="preserve">1</w:t>
            </w:r>
            <w:r w:rsidR="00000000" w:rsidRPr="00000000" w:rsidDel="00000000">
              <w:rPr>
                <w:rtl w:val="0"/>
              </w:rPr>
              <w:t xml:space="preserve"> daļa būtu papildināma ar elektroenerģijas uzkrātuves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Sistēmas operatoram ir tiesības no elektroenerģijas sistēmas bez brīdinājuma atslēgt ražotāju vai elektroenerģijas uzkrātuves operatoru, kura elektroenerģijas ražošanas iekārtas pieslēgtas elektroenerģijas sistēmai bez sistēmas operatora atļaujas vai pārsniedz sistēmas operatora atļauto elektroenerģijas ražošanas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