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23-TA-2269: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2020. gada 28. jūlija noteikumos Nr. 467 "Darbības programmas "Izaugsme un nodarbinātība" 4.5.1. specifiskā atbalsta mērķa "Attīstīt videi draudzīgu sabiedriskā transporta infrastruktūru" 4.5.1.1. pasākuma "Attīstīt videi draudzīgu sabiedriskā transporta infrastruktūru (sliežu transporta)"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punkta "Risinājuma apraksts" trešo rindkopu ar informāciju, kur radies pieejamais finansējums, ņemot vērā, ka iepriekš anotācijā ir noteikts, ka visi termiņi kavējas un ievelkas. Vienlaikus lūdzam anotācijā arī norādīt, vai pieejamā finansējuma pārdalīšana otrajai atlases kārtai nerada risku, ka minētais finansējums var pietrūkt elektrovilcienu iegādei, tādējādi apdraudot visu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26.10.2022. rīkojuma Nr.763 “Par Satiksmes ministrijas ilgtermiņa saistībām jauno elektrovilcienu projekta īstenošanai” 1.1 un 1.2. apakšpunktā noteikto un, lai nerastos interpretācijas iespējas, lūdzam papildināt anotāciju ar nepārprotamu skaidrojumu par iegādājamo elektrovilcienu apmēru, proti, skaidrai un nepārprotamai izsekojamībai norādīt kopējo iegādājamo elektrovilcienu apmēru un ES fondu projekta ietvarā iegādājamo elektrovilcienu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punkta "Problēmas apraksts" "4.5.1.1.pasākuma trešās atlases kārtas Projekts." 9. rindkopu ar skaidrojumu attiecībā uz pastāvošajiem riskiem, projekta ietekmi situācijā, ja Škoda ierosinātie grozījumi kavējumam nav attaisnojami un kāda būtu gan Pasažieru vilciena, sadarbības iestādes, atbildīgās iestādes rīcība un turpmākās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pārbaudīt un nepieciešamības gadījumā veikt attiecīgās korekcijas, lai anotācijas 1.3. punktā norādītās atsauces no [1]-[4] atbilstu anotācijas norādītajai informācijai un tekstam.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Eiropas Savienības struktūrfondu un Kohēzijas fonda (turpmāk – ES fondi) 2014.-2020.gada plānošanas perioda projekts Nr. 4.5.1.1/21/I/001 “Rīgas un Pierīgas pasažieru pārvadāšanai nepieciešamo elektrovilcienu iegāde” (turpmāk – Projekts) tiks pabeigts atbilstoši Eiropas Komisijas Vadlīniju par to darbības programmu slēgšanu, kuras pieņemtas atbalsta saņemšanai no Eiropas Reģionālās attīstības fonda, Eiropas Sociālā fonda, Kohēzijas fonda un Eiropas Jūrlietu un zivsaimniecības fonda (2014.–2020. gada periodā) (2021/C 417/01) 6. sadaļai “divu periodu projekts”, un Projekta darbības tiks pakāpeniski īstenotas divos Eiropas Savienības struktūrfondu un Kohēzijas fonda (turpmāk – ES fondi) plānošanas periodos. Projekta otrā posma īstenošanai nepieciešamo ES fondu finansējumu ir plānots nodrošināt Eiropas Savienības kohēzijas politikas programmas 2021.-2027.gadam ietvaros, pārstrukturējot transporta nozares investīcijas.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protokollēmuma 3.punktu un anotāciju ar informāciju, ka projekta otrā posma īstenošanu plānots finansēt Eiropas Savienības kohēzijas politikas programmas 2021.-2027.gadam 2.3.1.specifiskā atbalsta mērķa “Veicināt ilgtspējīgu daudzveidu mobilitāti pilsētās” plānotajā 2.3.1.4.pasākumā ”Bezemisiju vilcieni”.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Dainis Linužs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Izdarīt izņēmumu atbilstoši 2020. gada 22. septembra protokollēmuma (prot.Nr. 55, 30.§) “Informatīvais ziņojums “Par Kohēzijas politikas Eiropas Savienības fondu investīciju aktualitātēm (pusgada ziņojums)”” (22-TA-716) noteiktajam un atļaut pārdalīt Kohēzijas fonda finansējumu 2 358 424 </w:t>
            </w:r>
            <w:r w:rsidR="00000000" w:rsidRPr="00000000" w:rsidDel="00000000">
              <w:rPr>
                <w:i w:val="1"/>
                <w:rtl w:val="0"/>
              </w:rPr>
              <w:t xml:space="preserve">euro</w:t>
            </w:r>
            <w:r w:rsidR="00000000" w:rsidRPr="00000000" w:rsidDel="00000000">
              <w:rPr>
                <w:rtl w:val="0"/>
              </w:rPr>
              <w:t xml:space="preserve"> apmērā no akciju sabiedrības “Pasažieru vilciens” īstenotā Projekta uz akciju sabiedrības “Daugavpils satiksme” īstenoto projektu Nr. 4.5.1.1/20/I/001 “Videi draudzīga sabiedriskā transporta attīstība Daugavpils pilsētā, 2.kārta” attiecināmo izmaksu segšanai.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protokollēmumu ar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"Atļaut Centrālajai finanšu un līguma aģentūrai izmaksāt noslēguma maksājumu AS "Daugavpils satiksme" pirms projekta Nr. 4.5.1.1/20/I/001 “Videi draudzīga sabiedriskā transporta attīstība Daugavpils pilsētā, 2.kārta” pabeigšanas.".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Izdarīt izņēmumu atbilstoši 2020. gada 22. septembra protokollēmuma (prot.Nr. 55, 30.§) “Informatīvais ziņojums “Par Kohēzijas politikas Eiropas Savienības fondu investīciju aktualitātēm (pusgada ziņojums)”” (22-TA-716) noteiktajam un atļaut pārdalīt Kohēzijas fonda finansējumu 2 358 424 </w:t>
            </w:r>
            <w:r w:rsidR="00000000" w:rsidRPr="00000000" w:rsidDel="00000000">
              <w:rPr>
                <w:i w:val="1"/>
                <w:rtl w:val="0"/>
              </w:rPr>
              <w:t xml:space="preserve">euro</w:t>
            </w:r>
            <w:r w:rsidR="00000000" w:rsidRPr="00000000" w:rsidDel="00000000">
              <w:rPr>
                <w:rtl w:val="0"/>
              </w:rPr>
              <w:t xml:space="preserve"> apmērā no akciju sabiedrības “Pasažieru vilciens” īstenotā Projekta uz akciju sabiedrības “Daugavpils satiksme” īstenoto projektu Nr. 4.5.1.1/20/I/001 “Videi draudzīga sabiedriskā transporta attīstība Daugavpils pilsētā, 2.kārta” attiecināmo izmaksu segšanai.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(turpmāk – MK) 2020.gada 22.septembra lēmums (protokols Nr.55, 30§, 2.1.apakšpunkts) neatļauj atbrīvotā finansējuma novirzīšanu citiem projektiem vai jaunām darbībām, bet paredz novirzīt virssaistību izdevumu kompensēšanai negatīvas ietekmes uz valsts budžetu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vērtējot aktuālo situāciju ar Kohēzijas fonda investīciju ieviešanu, galvenokārt dēļ finanšu ietilpīgo transporta sektora projektu kavējumiem, un attiecīgi prognozēto nespēju izmantot Kohēzijas fonda piešķīrumu pilnā apmērā, pēc būtības MK ierobežojums uz Kohēzijas fondu vairs nav aktuāls.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Finanšu ministrija neiebilst, ka MK lēmuma pieņemšanai tiek virzīts noteikumu projektā ietvertais Satiksmes ministrijas priekšlikums pārdalīt papildu 2 358 424 euro Kohēzijas fonda 2014.–2020.gada plānošanas perioda finansējumu Akciju sabiedrības “Daugavpils satiksme” projektam Nr. 4.5.1.1/20/I/001 “Videi draudzīga sabiedriskā transporta attīstība Daugavpils pilsētā, 2.kārta” objektīvi pamatota izmaksu pieauguma rezultātā. Vienlaikus, lai skaidri nodrošinātu lēmuma pieņemšanai nepieciešamo argumentāciju, lūdzam Satiksmes ministriju attiecīgi papildināt anotāciju ar finanšu ieguvumu Kohēzijas fonda izmantošanas iespēju uzlabošanai, ja šāda pārdale tiek veikta, t.i. norādot, ka pārdales rezultātā tiks mazināti riski nesaņemt pilnā apmērā iespējamo Kohēzijas fonda līdzfinansējumu Latvijai.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Dainis Linužs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Izdarīt izņēmumu atbilstoši 2020. gada 22. septembra protokollēmuma (prot.Nr. 55, 30.§) “Informatīvais ziņojums “Par Kohēzijas politikas Eiropas Savienības fondu investīciju aktualitātēm (pusgada ziņojums)”” (22-TA-716) noteiktajam un atļaut pārdalīt Kohēzijas fonda finansējumu 2 358 424 </w:t>
            </w:r>
            <w:r w:rsidR="00000000" w:rsidRPr="00000000" w:rsidDel="00000000">
              <w:rPr>
                <w:i w:val="1"/>
                <w:rtl w:val="0"/>
              </w:rPr>
              <w:t xml:space="preserve">euro</w:t>
            </w:r>
            <w:r w:rsidR="00000000" w:rsidRPr="00000000" w:rsidDel="00000000">
              <w:rPr>
                <w:rtl w:val="0"/>
              </w:rPr>
              <w:t xml:space="preserve"> apmērā no akciju sabiedrības “Pasažieru vilciens” īstenotā Projekta uz akciju sabiedrības “Daugavpils satiksme” īstenoto projektu Nr. 4.5.1.1/20/I/001 “Videi draudzīga sabiedriskā transporta attīstība Daugavpils pilsētā, 2.kārta” attiecināmo izmaksu segšanai.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Satiksmes ministrijas uzmanību, ka atbilstoši CFLA iknedēļu aktualizētajai informācijai KP VIS sadaļā “Projekta informācija pie citiem 4.5.1.1.pasākumā “Attīstīt videi draudzīgu sabiedriskā transporta infrastruktūru (sliežu transporta)” projektiem, ir vēl vairāki projekti, kuriem ir konstatēti sarežģījumi projekta īstenošanā un riski veiksmīgai pabeigšanai līdz 2023.gada 31.decembrim (turpmāk – riskantie projekti). Piemēram, mūsu rīcībā ir informācija KP VIS par vismaz 2 projektiem (4.5.1.1/21/I/005 “Videi draudzīga un integrēta mobilitāte Daugavpils pilsētā” un 4.5.1.1/22/I/001 “Rīgas tramvaja infrastruktūras pielāgošana zemās grīdas tramvaja parametriem”), kuriem uz 2023.gada 13.septembri  ir risks netikt pabeigtiem līdz 2023.gada beigām un kuriem varētu būt nepieciešamība veikt izdevumus pēc 2023.gada 31.decembra.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neradītu papildu negatīvu ietekmi uz valsts budžetu, vienlaikus nodrošinot arī ātrāku izdevumu deklarēšanu ES fondu 2021.–2027.gada plānošanas periodā, šādos gadījumos sekmīgai projektu pabeigšanai prioritāri ir jāizmanto projektu posmošanas vai pārcelšanas iespējas finansēšanai no ES fondu 2021.-2027.gada plānošanas perioda.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Satiksmes ministriju sadarbībā ar CFLA un finansējuma saņēmēju, ja nepieciešams, apzināt visus projektus ar risku tos nepabeigt līdz 2023.gada 31.decembrim un/vai kuru kopējās izmaksas palielinās (sadārdzinājums) un anotācijā iekļaut šo analīzi, atbilstoši precizējot arī noteikumu projektu, paredzot nepieciešamo regulējumu un rīcību.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Dainis Linužs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Pasākumam pieejamais kopējais attiecināmais finansējums nav mazāks kā 302 762 483 </w:t>
            </w:r>
            <w:r w:rsidR="00000000" w:rsidRPr="00000000" w:rsidDel="00000000">
              <w:rPr>
                <w:i w:val="1"/>
                <w:rtl w:val="0"/>
              </w:rPr>
              <w:t xml:space="preserve">euro</w:t>
            </w:r>
            <w:r w:rsidR="00000000" w:rsidRPr="00000000" w:rsidDel="00000000">
              <w:rPr>
                <w:rtl w:val="0"/>
              </w:rPr>
              <w:t xml:space="preserve">, tai skaitā Kohēzijas fonda finansējums nepārsniedz 235 002 439 </w:t>
            </w:r>
            <w:r w:rsidR="00000000" w:rsidRPr="00000000" w:rsidDel="00000000">
              <w:rPr>
                <w:i w:val="1"/>
                <w:rtl w:val="0"/>
              </w:rPr>
              <w:t xml:space="preserve">euro</w:t>
            </w:r>
            <w:r w:rsidR="00000000" w:rsidRPr="00000000" w:rsidDel="00000000">
              <w:rPr>
                <w:rtl w:val="0"/>
              </w:rPr>
              <w:t xml:space="preserve">, un nacionālais finansējums (valsts budžeta finansējums, valsts budžeta dotācija pašvaldībām, pašvaldību un privātais finansējums) nav mazāks kā 67 760 044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veiktos grozījumus finansējuma apjomā, lūdzam pārliecināties par 4.5.1.specifiskā atbalsta mērķa rādītāju apraksta (turpmāk - rādītāju apraksts) aktualitāti, nepieciešamības gadījumā veicot vajadzīgos precizējumus, un iesniedzot aktualizētu rādītāju aprakstu.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Ja tiek pārkāptas šajos noteikumos noteiktās komercdarbības atbalsta piešķiršanas prasības, kas izriet no Regulas Nr.  </w:t>
            </w:r>
            <w:r w:rsidR="00000000" w:rsidRPr="00000000" w:rsidDel="00000000">
              <w:rPr>
                <w:rtl w:val="0"/>
              </w:rPr>
              <w:t xml:space="preserve">1370/2007</w:t>
            </w:r>
            <w:r w:rsidR="00000000" w:rsidRPr="00000000" w:rsidDel="00000000">
              <w:rPr>
                <w:rtl w:val="0"/>
              </w:rPr>
              <w:t xml:space="preserve">, atbalsta saņēmējam ir pienākums atmaksāt atbalsta sniedzējam visu projekta ietvaros saņemto nelikumīgo komercdarbības atbalstu kopā ar procentiem, ko publicē Eiropas Komisija saskaņā ar Komisijas 2004. gada 21. aprīļa Regulas (EK) Nr.  </w:t>
            </w:r>
            <w:r w:rsidR="00000000" w:rsidRPr="00000000" w:rsidDel="00000000">
              <w:rPr>
                <w:rtl w:val="0"/>
              </w:rPr>
              <w:t xml:space="preserve">794/2004</w:t>
            </w:r>
            <w:r w:rsidR="00000000" w:rsidRPr="00000000" w:rsidDel="00000000">
              <w:rPr>
                <w:rtl w:val="0"/>
              </w:rPr>
              <w:t xml:space="preserve">, ar ko īsteno Padomes Regulu (ES)  </w:t>
            </w:r>
            <w:r w:rsidR="00000000" w:rsidRPr="00000000" w:rsidDel="00000000">
              <w:rPr>
                <w:rtl w:val="0"/>
              </w:rPr>
              <w:t xml:space="preserve">2015/1589</w:t>
            </w:r>
            <w:r w:rsidR="00000000" w:rsidRPr="00000000" w:rsidDel="00000000">
              <w:rPr>
                <w:rtl w:val="0"/>
              </w:rPr>
              <w:t xml:space="preserve">, ar ko nosaka sīki izstrādātus noteikumus Līguma par Eiropas Savienības darbību 108. panta piemērošanai (turpmāk – Komisijas regula Nr.  </w:t>
            </w:r>
            <w:r w:rsidR="00000000" w:rsidRPr="00000000" w:rsidDel="00000000">
              <w:rPr>
                <w:rtl w:val="0"/>
              </w:rPr>
              <w:t xml:space="preserve">794/2004</w:t>
            </w:r>
            <w:r w:rsidR="00000000" w:rsidRPr="00000000" w:rsidDel="00000000">
              <w:rPr>
                <w:rtl w:val="0"/>
              </w:rPr>
              <w:t xml:space="preserve">), 10. pantu, tiem pieskaitot 100 bāzes punktus, skaitot no dienas, kad nelikumīgais komercdarbības atbalsts tika izmaksāts finansējuma saņēmējam, līdz tā atgūšanas dienai, ievērojot Komisijas regulas Nr.  </w:t>
            </w:r>
            <w:r w:rsidR="00000000" w:rsidRPr="00000000" w:rsidDel="00000000">
              <w:rPr>
                <w:rtl w:val="0"/>
              </w:rPr>
              <w:t xml:space="preserve">794/2004</w:t>
            </w:r>
            <w:r w:rsidR="00000000" w:rsidRPr="00000000" w:rsidDel="00000000">
              <w:rPr>
                <w:rtl w:val="0"/>
              </w:rPr>
              <w:t xml:space="preserve"> 11. pantā noteikto procentu likmes piemērošanas metodi.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nelikumīga un nesaderīga komercdarbības atbalsta atgūšanas pienākums un kārtība nacionāli ir noteikta Komercdarbības atbalsta kontroles likumā, aicinām precizēt MK noteikumu 38.punktu,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saņēmējam ir pienākums atmaksāt atbalsta sniedzējam projekta ietvaros saņemto nelikumīgo komercdarbības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Pasākuma pirmās atlases kārtas ietvaros projektu īsteno saskaņā ar civiltiesisko līgumu par projekta īstenošanu, bet ne ilgāk kā līdz 2023. gada 1. augustam. Pasākuma otrās atlases kārtas, trešās atlases kārtas un ceturtās atlases kārtas ietvaros projektu īsteno saskaņā ar civiltiesisko līgumu par projekta īstenošanu, bet ne ilgāk kā līdz 2023. gada 31. decembrim, izņemot šo noteikumu </w:t>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minētos gadījumus.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noteikumu 42. punktu ar regulējumu "nefunkcinējošiem" projektiem, t.sk. atrunājot gadījumus, ja finansējuma saņēmējs nepabeidz par saviem līdzekļiem visas plānotās projekta aktivitātes un nesasniedz visus plānotos iznākuma rādītājus, jo Ministru kabineta grozījumi skar visas 4.5.1.1.pasākuma “Attīstīt videi draudzīgu sabiedriskā transporta infrastruktūru (sliežu transporta)” kārtas.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noteikumu projektu ar jaunu punktu, kurā noteikti nosacījumi maksājumu pieprasījumu iesniegšanai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42.1 punktā minētajos gadījumos finansējuma saņēmējs maksājuma pieprasījumā par periodu līdz 2023. gada 31. decembrim nodala pabeigtās projekta aktivitātes, sasniegtos iznākuma rādītājus un veiktos izdevumus, kas sasniegti līdz 2023. gada 31. decembrim, no projekta aktivitātēm un iznākuma rādītājiem, kas tiks sasniegti pēc 2023. gada 31. decembra."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atbilstošus papildinājumus veikt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.Ja finansējuma saņēmējs nevar pilnībā pabeigt projektā plānotās aktivitātes un sasniegt projektā plānotos iznākuma rādītājus līdz termiņam, kas noteikts Eiropas Parlamenta un Padomes 2013. gada 17. decembra Regulas (ES) Nr. 1303/2013 65. panta 2.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.1. projektu pilnībā pabeidz līdz 2026. gada 31. oktobrim, par saviem līdzekļiem nodrošinot projekta mērķa sasniegšanu un tā funkcionalitāti, ja sadarbības iestāde un atbildīgā iestāde atbilstoši kompetencei sniedz pozitīvu atzinumu par projekta termiņa pagarināšanu.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.2. projektu var sadalīt posmos un tā īstenošanu pabeigt Eiropas Savienības fondu 2021.–2027. gada plānošanas periodā atbilstoši Eiropas Savienības Kohēzijas politikas programmas 2021.–2027. gadam iezīmētajam finansējumam un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2</w:t>
            </w:r>
            <w:r w:rsidR="00000000" w:rsidRPr="00000000" w:rsidDel="00000000">
              <w:rPr>
                <w:rtl w:val="0"/>
              </w:rPr>
              <w:t xml:space="preserve">.Sadarbības iestāde apstiprina un veic noslēguma maksājumus par izdevumiem, kas veikti līdz 2023. gada 31. decembrim, tiem projektiem, kuri atbilst šo noteikumu 42</w:t>
            </w:r>
            <w:r w:rsidR="00000000" w:rsidRPr="00000000" w:rsidDel="00000000">
              <w:rPr>
                <w:vertAlign w:val="superscript"/>
                <w:rtl w:val="0"/>
              </w:rPr>
              <w:t xml:space="preserve">1</w:t>
            </w:r>
            <w:r w:rsidR="00000000" w:rsidRPr="00000000" w:rsidDel="00000000">
              <w:rPr>
                <w:rtl w:val="0"/>
              </w:rPr>
              <w:t xml:space="preserve">. punktā minētajiem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3</w:t>
            </w:r>
            <w:r w:rsidR="00000000" w:rsidRPr="00000000" w:rsidDel="00000000">
              <w:rPr>
                <w:rtl w:val="0"/>
              </w:rPr>
              <w:t xml:space="preserve">.Ja finansējuma saņēmējs nepabeidz par saviem līdzekļiem visas plānotās projekta aktivitātes un nesasniedz visus plānotos iznākuma rādītājus šo noteikumu 42</w:t>
            </w:r>
            <w:r w:rsidR="00000000" w:rsidRPr="00000000" w:rsidDel="00000000">
              <w:rPr>
                <w:vertAlign w:val="superscript"/>
                <w:rtl w:val="0"/>
              </w:rPr>
              <w:t xml:space="preserve">1</w:t>
            </w:r>
            <w:r w:rsidR="00000000" w:rsidRPr="00000000" w:rsidDel="00000000">
              <w:rPr>
                <w:rtl w:val="0"/>
              </w:rPr>
              <w:t xml:space="preserve">.1. apakšpunktā norādītajos termiņos, finansējuma saņēmējam ir pienākums atmaksāt visu projektā izmaksāto atbalsta finansējumu sadarbības iestādei saskaņā ar līguma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Dainis Linužs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 Ja finansējuma saņēmējs nevar pilnībā pabeigt projektā plānotās darbības un sasniegt projektā plānotos iznākuma rādītājus līdz termiņam, kas noteikts Eiropas Parlamenta un Padomes 2013. gada 17. decembra Regulas (ES) Nr. 1303/2013 65. panta 2. punktā, projektu var sadalīt posmos un tā īstenošanu pabeigt Eiropas Savienības fondu 2021.–2027. gada plānošanas periodā atbilstoši Eiropas Savienības Kohēzijas politikas programmā 2021.–2027. gadam paredzētajam finansējumam un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42.</w:t>
            </w:r>
            <w:r w:rsidR="00000000" w:rsidRPr="00000000" w:rsidDel="00000000">
              <w:rPr>
                <w:vertAlign w:val="superscript"/>
                <w:rtl w:val="0"/>
              </w:rPr>
              <w:t xml:space="preserve">1</w:t>
            </w:r>
            <w:r w:rsidR="00000000" w:rsidRPr="00000000" w:rsidDel="00000000">
              <w:rPr>
                <w:rtl w:val="0"/>
              </w:rPr>
              <w:t xml:space="preserve"> punktā aizstāt vārdus, skaitļus un pieturzīmes "Eiropas Parlamenta un Padomes 2013. gada 17. decembra Regulas (ES) Nr. 1303/2013 " ar vārdiem, skaitļiem un pieturzīmēm "Eiropas Parlamenta un Padomes 2013. gada 17. decembra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 tādējādi norādot Regulas Nr. 1303/2013 pilnu nosaukumu.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23-TA-2269</w:t>
    </w:r>
    <w:r>
      <w:br/>
    </w:r>
    <w:r w:rsidR="00000000" w:rsidRPr="00000000" w:rsidDel="00000000">
      <w:rPr>
        <w:rtl w:val="0"/>
      </w:rPr>
      <w:t xml:space="preserve">Izdrukāts 15.09.2023. 15.27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23-TA-2269</w:t>
    </w:r>
    <w:r>
      <w:br/>
    </w:r>
    <w:r w:rsidR="00000000" w:rsidRPr="00000000" w:rsidDel="00000000">
      <w:rPr>
        <w:rtl w:val="0"/>
      </w:rPr>
      <w:t xml:space="preserve">Izdrukāts 15.09.2023. 15.27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Atzinumi_23-TA-2269.docx</dc:title>
</cp:coreProperties>
</file>

<file path=docProps/custom.xml><?xml version="1.0" encoding="utf-8"?>
<Properties xmlns="http://schemas.openxmlformats.org/officeDocument/2006/custom-properties" xmlns:vt="http://schemas.openxmlformats.org/officeDocument/2006/docPropsVTypes"/>
</file>