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24-TA-2818: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par papildu pasākumiem administratīvā sloga mazināšanai nekustamā īpašuma attīstīšanas jomā.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Informatīvais ziņojums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informatīvā ziņojuma 5.4.2.punktu ar šādu informāciju.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Strādājot pie Ministru Kabineta noteikumu projekta “Grozījumi Ministru kabineta 18.12.2012. noteikumos Nr.889 "Noteikumi par atmežošanas kompensācijas noteikšanas kritērijiem, aprēķināšanas un atlīdzināšanas kārtība”, ir panākta vienošanās, ka, lai aprēķinātu atmežošanas kompensāciju, </w:t>
            </w:r>
            <w:r w:rsidR="00000000" w:rsidRPr="00000000" w:rsidDel="00000000">
              <w:rPr>
                <w:b w:val="1"/>
                <w:rtl w:val="0"/>
              </w:rPr>
              <w:t xml:space="preserve">vairs nebūs nepieciešama  atmežošanas poligona iezīmēšana dabā</w:t>
            </w:r>
            <w:r w:rsidR="00000000" w:rsidRPr="00000000" w:rsidDel="00000000">
              <w:rPr>
                <w:rtl w:val="0"/>
              </w:rPr>
              <w:t xml:space="preserve">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Lāsma Āboliņa (ZM)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24-TA-2818</w:t>
    </w:r>
    <w:r>
      <w:br/>
    </w:r>
    <w:r w:rsidR="00000000" w:rsidRPr="00000000" w:rsidDel="00000000">
      <w:rPr>
        <w:rtl w:val="0"/>
      </w:rPr>
      <w:t xml:space="preserve">Izdrukāts 12.12.2024. 10.15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24-TA-2818</w:t>
    </w:r>
    <w:r>
      <w:br/>
    </w:r>
    <w:r w:rsidR="00000000" w:rsidRPr="00000000" w:rsidDel="00000000">
      <w:rPr>
        <w:rtl w:val="0"/>
      </w:rPr>
      <w:t xml:space="preserve">Izdrukāts 12.12.2024. 10.15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