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Strīdi, kas finansējuma saņēmējam rodas projekta īstenošanas laikā pēc sadarbības līguma noslēgšanas ar komersantu</w:t>
            </w:r>
            <w:r w:rsidR="00000000" w:rsidRPr="00000000" w:rsidDel="00000000">
              <w:rPr>
                <w:b w:val="1"/>
                <w:rtl w:val="0"/>
              </w:rPr>
              <w:t xml:space="preserve"> </w:t>
            </w:r>
            <w:r w:rsidR="00000000" w:rsidRPr="00000000" w:rsidDel="00000000">
              <w:rPr>
                <w:rtl w:val="0"/>
              </w:rPr>
              <w:t xml:space="preserve">vispirms tiek risināti komersantam iesniedzot pretenziju Izglītības un zinātnes ministrijā kā atbildīgajā iestādē un, ja domstarpības neizdodas atrisināt sarunu ceļā, komersants var celt prasību pret finansējuma saņēmēju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paredzētā strīdu izskatīšanas kārtība – proti, iespēja gala labuma guvējam pēc pretenzijas iesniegšanas Izglītības un zinātnes ministrijā pārsūdzēt finansējuma saņēmēja (biedrības vai nodibinājuma) lēmumu Administratīvā procesa likuma kārtībā – pirmšķietami neatbilst Valsts pārvaldes iekārtas likuma un Administratīvā procesa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40. pantu valsts pārvaldes uzdevumu nodošana privāttiesību juridiskajām personām ir iespējama tikai uz skaidra un pamatota deleģējuma pamata. Savukārt Administratīvā procesa likuma piemērošana ir pieļaujama tikai attiecībā uz administratīvajiem aktiem, kas izdoti, īstenojot publisku 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 projekta redakcijas nav skaidrs, vai biedrībai vai nodibinājumam ir nodots valsts pārvaldes uzdevums izvērtēt gala labuma guvēju atbilstību un pieņemt lēmumus ar publisku tiesisko iedarbību. Ja šāda deleģējuma nav, pastāv būtiski riski, ka administratīvais process tiks piemērots nepamatoti, neatbilstoši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skaidri norādīt, vai finansējuma saņēmējam ir deleģēts valsts pārvaldes uzdevums atbilstoši Valsts pārvaldes iekārtas likuma 40. panta prasībām un, vai finansējuma saņēmēja lēmumi ir uzskatāmi par administratīvajiem aktiem Administratīvā procesa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attiecīgi precizēt noteikumu projekta regulējumu, lai nodrošinātu atbilstību publisko tiesību aktu izdošanas un strīdu izskatīšanas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29.04.2025.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29.04.2025.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