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sadaļā “1.3. Pašreizējā situācija, problēmas un risinājumi” vairākās vietās ir norādīts, ka tiks ieviesti jauni amati, lūdzam papildināt anotācijas sadaļas “3. Tiesību akta projekta ietekme uz valsts budžetu un pašvaldību budžetiem” punktu “Cita informācija”, tajā norādot, ka noteikumu projektā noteikto normu izpilde iesaistītajās institūcijās nepalielinās noteikto kopējo amata vietu skaitu un ka noteikumu projektā noteikto normu izpilde tiks nodrošināta iesaistītajām institūcijām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28.03.2024.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28.03.2024.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Atzinumi_22-TA-3789.docx</dc:title>
</cp:coreProperties>
</file>

<file path=docProps/custom.xml><?xml version="1.0" encoding="utf-8"?>
<Properties xmlns="http://schemas.openxmlformats.org/officeDocument/2006/custom-properties" xmlns:vt="http://schemas.openxmlformats.org/officeDocument/2006/docPropsVTypes"/>
</file>