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neiebilst jautājuma izskatīšanai Ministru kabineta sēdē, taču informējam, ka Finanšu ministrijai netika dots pietiekami laiks iepazīties un izvērtēt precizēto informatīvā ziņojuma projektu un pielikumos piedāvātos grozījumus normatīvajos aktos (tiem nav arī pievienotas anotācijas), lai sniegtu vispusīgi izvērtētu un kvalitatīvu viedokli. Vēršam uzmanību, ka Satiksmes ministrija atbilstoši  Ministru kabineta 2003.gada 29.aprīļa noteikumiem Nr.242 "Satiksmes ministrijas nolikums" ir pilnībā atbildīga par ostu pārvaldības politiku un attiecīgi ostu pārvaldības reformas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06.05.2025.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06.05.2025.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