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Grozījumi Kredītiestāžu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 </w:t>
            </w:r>
            <w:r w:rsidR="00000000" w:rsidRPr="00000000" w:rsidDel="00000000">
              <w:rPr>
                <w:b w:val="1"/>
                <w:rtl w:val="0"/>
              </w:rPr>
              <w:t xml:space="preserve">specializētā kredītiestāde</w:t>
            </w:r>
            <w:r w:rsidR="00000000" w:rsidRPr="00000000" w:rsidDel="00000000">
              <w:rPr>
                <w:rtl w:val="0"/>
              </w:rPr>
              <w:t xml:space="preserve"> — kredītiestāde, kura sniedz šā likuma 1. panta pirmās daļas 4. punktā  minētos finanšu pakalpojumus, izņemot uzticības operācijas (trastus) un kriptoaktīvu pakalpojumus,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biznesa modelis paredz inovatīvu pakalpojumu sniegšanu, kas Latvijas mērogā ir jauns vai būtiski uzlabots finanšu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iepazīstoties ar Finanšu ministrijas sagatavoto likumprojekta redakciju, </w:t>
            </w:r>
            <w:r w:rsidR="00000000" w:rsidRPr="00000000" w:rsidDel="00000000">
              <w:rPr>
                <w:b w:val="1"/>
                <w:rtl w:val="0"/>
              </w:rPr>
              <w:t xml:space="preserve">konceptuāli to saskaņo</w:t>
            </w:r>
            <w:r w:rsidR="00000000" w:rsidRPr="00000000" w:rsidDel="00000000">
              <w:rPr>
                <w:rtl w:val="0"/>
              </w:rPr>
              <w:t xml:space="preserve">. Vienlaikus Asociācija aicina ministriju izvērtēt iespēju svītrot likumprojektā paredzētos ierobežojumus attiecībā uz uzticības operāciju (trastu) un kriptoaktīvu pakalpojumu sniegšanu. Asociācijas ieskatā, šādu ierobežojumu saglabāšanai nav pietiekama tiesiska vai racionāla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likumprojekta anotācijā norādīto, specializēto kredītiestāžu licencēšanas procesā ir paredzēta padziļināta pretendenta darbības stratēģijas, biznesa modeļa un kapitāla pietiekamības izvērtēšana, lai pārliecinātos par sākotnējo kapitāla prasību samērību un to atbilstību paredzētās darbības riska segšanai. Tādējādi tiek nodrošināta efektīva risku pārvaldība gan konkrētajā iestādē, gan finanšu sektora līmenī, ievērojot samērīguma un risku proporcionalitātes principus, un </w:t>
            </w:r>
            <w:r w:rsidR="00000000" w:rsidRPr="00000000" w:rsidDel="00000000">
              <w:rPr>
                <w:b w:val="1"/>
                <w:rtl w:val="0"/>
              </w:rPr>
              <w:t xml:space="preserve">izslēdzot nepieciešamību pašā likumprojekta tekstā noteikt aizliegumu sniegt noteiktus finanšu pakalpojumus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Asociācija vērš uzmanību, ka likumprojekta 73. punkta apakšpunktos jau ir ietverti pietiekami detalizēti kritēriji, kas nosaka specializēto kredītiestāžu darbības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specializētā kredītiestāde — kredītiestāde, kura sniedz šā likuma 1. panta pirmās daļas 4. punktā minētos finanšu pakalpojumus,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ierobežots klientu loks, kas noteikts pēc teritoriālā principa vai nodarbinātības principa vai interešu kopības principa Krājaizdevu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pakalpojumu sniegšana tikai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biznesa modelis paredz inovatīvu pakalpojumu sniegšanu, kas Latvijas mērogā ir jauns vai būtiski uzlabots finanšu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25-TA-337</w:t>
    </w:r>
    <w:r>
      <w:br/>
    </w:r>
    <w:r w:rsidR="00000000" w:rsidRPr="00000000" w:rsidDel="00000000">
      <w:rPr>
        <w:rtl w:val="0"/>
      </w:rPr>
      <w:t xml:space="preserve">Izdrukāts 07.05.2025.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25-TA-337</w:t>
    </w:r>
    <w:r>
      <w:br/>
    </w:r>
    <w:r w:rsidR="00000000" w:rsidRPr="00000000" w:rsidDel="00000000">
      <w:rPr>
        <w:rtl w:val="0"/>
      </w:rPr>
      <w:t xml:space="preserve">Izdrukāts 07.05.2025.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Atzinumi_25-TA-337.docx</dc:title>
</cp:coreProperties>
</file>

<file path=docProps/custom.xml><?xml version="1.0" encoding="utf-8"?>
<Properties xmlns="http://schemas.openxmlformats.org/officeDocument/2006/custom-properties" xmlns:vt="http://schemas.openxmlformats.org/officeDocument/2006/docPropsVTypes"/>
</file>