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 jūnija noteikumos Nr. 279 "Ceļu satiksmes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w:t>
            </w:r>
            <w:r w:rsidR="00000000" w:rsidRPr="00000000" w:rsidDel="00000000">
              <w:rPr>
                <w:shd w:fill="#ffffff" w:val="clear"/>
                <w:rtl w:val="0"/>
              </w:rPr>
              <w:t xml:space="preserve">Papildināt noteikumus ar 179.</w:t>
            </w:r>
            <w:r w:rsidR="00000000" w:rsidRPr="00000000" w:rsidDel="00000000">
              <w:rPr>
                <w:shd w:fill="#ffffff" w:val="clear"/>
                <w:vertAlign w:val="superscript"/>
                <w:rtl w:val="0"/>
              </w:rPr>
              <w:t xml:space="preserve">1 </w:t>
            </w:r>
            <w:r w:rsidR="00000000" w:rsidRPr="00000000" w:rsidDel="00000000">
              <w:rPr>
                <w:shd w:fill="#ffffff" w:val="clea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hd w:fill="#ffffff" w:val="clear"/>
                <w:rtl w:val="0"/>
              </w:rPr>
              <w:t xml:space="preserve">“179.</w:t>
            </w:r>
            <w:r w:rsidR="00000000" w:rsidRPr="00000000" w:rsidDel="00000000">
              <w:rPr>
                <w:shd w:fill="#ffffff" w:val="clear"/>
                <w:vertAlign w:val="superscript"/>
                <w:rtl w:val="0"/>
              </w:rPr>
              <w:t xml:space="preserve">1</w:t>
            </w:r>
            <w:r w:rsidR="00000000" w:rsidRPr="00000000" w:rsidDel="00000000">
              <w:rPr>
                <w:shd w:fill="#ffffff" w:val="clear"/>
                <w:rtl w:val="0"/>
              </w:rPr>
              <w:t xml:space="preserve">  Transportlīdzekļa sastāvam, kurš sastāv no mehāniskā transportlīdzekļa ar puspiekabi un piekabi (puspiekabi) ir atļauts piedalīties ceļu satiksmē, ja normatīvos aktos noteiktā kārtībā </w:t>
            </w:r>
            <w:r w:rsidR="00000000" w:rsidRPr="00000000" w:rsidDel="00000000">
              <w:rPr>
                <w:rtl w:val="0"/>
              </w:rPr>
              <w:t xml:space="preserve">ir saņemta </w:t>
            </w:r>
            <w:r w:rsidR="00000000" w:rsidRPr="00000000" w:rsidDel="00000000">
              <w:rPr>
                <w:shd w:fill="#ffffff" w:val="clear"/>
                <w:rtl w:val="0"/>
              </w:rPr>
              <w:t xml:space="preserve">attiecīga lielgabarīta un smagsvara pārvadājuma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ieskatā projekta 179.</w:t>
            </w:r>
            <w:r w:rsidR="00000000" w:rsidRPr="00000000" w:rsidDel="00000000">
              <w:rPr>
                <w:vertAlign w:val="superscript"/>
                <w:rtl w:val="0"/>
              </w:rPr>
              <w:t xml:space="preserve">1</w:t>
            </w:r>
            <w:r w:rsidR="00000000" w:rsidRPr="00000000" w:rsidDel="00000000">
              <w:rPr>
                <w:rtl w:val="0"/>
              </w:rPr>
              <w:t xml:space="preserve"> punkts būtībā paredz to, ka normatīvajos aktos noteiktā kārtībā saņemot lielgabarīta un smagsvara pārvadājumu atļauju, ar transportlīdzekli, veicot kravas pārvadājumus, var vilkt vairāk nekā vienu piekabi (puspiekabi).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2010. gada 6.aprīļa noteikumu Nr.343 "Noteikumi par lielgabarīta un smagsvara pārvadājumiem" 37.punktu (redakcijā, kas stāsies spēkā 2024.gada 1.janvārī)  atļauju izsniedz </w:t>
            </w:r>
            <w:r w:rsidR="00000000" w:rsidRPr="00000000" w:rsidDel="00000000">
              <w:rPr>
                <w:u w:val="single"/>
                <w:rtl w:val="0"/>
              </w:rPr>
              <w:t xml:space="preserve">transportlīdzekļu sastāvam, kas sastāv no mehāniska transportlīdzekļa, puspiekabes un piekabes </w:t>
            </w:r>
            <w:r w:rsidR="00000000" w:rsidRPr="00000000" w:rsidDel="00000000">
              <w:rPr>
                <w:rtl w:val="0"/>
              </w:rPr>
              <w:t xml:space="preserve">un kurš pārvadā dalāmu kravu, ja tam ir vismaz astoņas asis, dzinēja jauda ir vismaz 400 ZS vai 290 kW un ja tā parametri nepārsniedz: 37.1. faktisko masu 60 t; 37.2. garumu 25,25 m; 37.3. piekabes garumu 7,82 m; 37.4. puspiekabes garumu 13,6 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Ceļu satiksmes noteikumu un Lielgabarīta un smagsvara pārvadājumu noteikumu saskaņotību, Iekšlietu ministrijas ieskatā projekta 179.</w:t>
            </w:r>
            <w:r w:rsidR="00000000" w:rsidRPr="00000000" w:rsidDel="00000000">
              <w:rPr>
                <w:vertAlign w:val="superscript"/>
                <w:rtl w:val="0"/>
              </w:rPr>
              <w:t xml:space="preserve">1</w:t>
            </w:r>
            <w:r w:rsidR="00000000" w:rsidRPr="00000000" w:rsidDel="00000000">
              <w:rPr>
                <w:rtl w:val="0"/>
              </w:rPr>
              <w:t xml:space="preserve"> punktā nepieciešams aizstāt vārdus "kurš sastāv no mehāniskā transportlīdzekļa ar puspiekabi un piekabi (puspiekabi)" ar vārdiem "kas sastāv no mehāniska transportlīdzekļa, puspiekabes un piekabes". Turklāt šiem grozījumiem regulējumā būtu jāstājas spēkā vienlaikus, proti, 2024.gada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Ceļu satiksmes noteikumu 2.28.apakšpunktā dots termina "transportlīdzekļu sastāvs" skaidrojums – mehāniskais transportlīdzeklis, kas savienots ar piekabi (puspiekabi), kā arī savienots velkošais un velkamais transportlīdzeklis.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minētā termina skaidrojums jau šobrīd neatbilst Ceļu satiksmes noteikumu 2.pielikuma 1.9. apakšpunktam, kurā minēts transportlīdzekļu sastāvs, kas sastāv no traktortehnikas </w:t>
            </w:r>
            <w:r w:rsidR="00000000" w:rsidRPr="00000000" w:rsidDel="00000000">
              <w:rPr>
                <w:u w:val="single"/>
                <w:rtl w:val="0"/>
              </w:rPr>
              <w:t xml:space="preserve">un divām </w:t>
            </w:r>
            <w:r w:rsidR="00000000" w:rsidRPr="00000000" w:rsidDel="00000000">
              <w:rPr>
                <w:rtl w:val="0"/>
              </w:rPr>
              <w:t xml:space="preserve">piekabēm un neatbildīs arī piedāvātajam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termins "transportlīdzekļu sastāvs" atbilstoši šādam skaidrojumam tiek lietots ne tikai Ceļu satiksmes noteikumos, bet arī citos normatīvajos, piemēram, Autopārvadājumu likumā, kurā paredzēta administratīvā atbildība par kravu pārvadāšanas noteikumu pārkāpumiem, aicinām sagatavot grozījumus minētā termina skaidrojumā.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2.29.apakšpunktu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"2.29. velojosla – josla uz brauktuves, kas paredzēta braukšanai ar velosipēdu un elektroskrejriteni un no citu transportlīdzekļu joslas ir atdalīta ar 920. vai 925. ceļa apzīmējumu, vai ar paaugstinātu apmali (tiek apzīmēta ar 941. ceļa apzīmējumu; var tikt apzīmēta ar 413. un 817. ceļa 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2.punktā piedāvātos grozījumus 2.29.apakšpunktā, kas pēc būtības paredz, ka velojoslas turpmāk vairs netiks apzīmētas ar 824. ceļa zīmi, aicinām izvērtēt nepieciešamību izdarīt attiecīgus grozījumus arī spēkā esošo Ministru kabineta 2015.gada 2.jūnija noteikumu Nr.279 "Ceļu satiksmes noteikumi" 94.punktā, kurā cita starpā atrodama norāde uz jau minēto 824. ceļa 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110.punktu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Lai netraucētu citus ceļu satiksmes dalībniekus, palaistu garām citu transportlīdzekli, šo noteikumu 88.punktā minētie transportlīdzekļi drīkst īslaicīgi braukt pa ceļa nomali, ja tai ir asfalta vai asfaltbetona segums. Ja ārpus apdzīvotām vietām ceļa platums vai brauktuves stāvoklis, ņemot vērā pretim braucošo transportlīdzekļu satiksmes intensitāti, neļauj apdzīt lēni braucošu, šo noteikumu 88.punktā minētie transportlīdzekļi, tā vadītājam, netraucējot citus ceļu satiksmes dalībniekus, jābrauc iespējami tuvāk ceļa (nomales) labajai malai, bet, ja aiz transportlīdzekļa ir izveidojies sastrēgums, jāaptur transportlīdzeklis un jāpalaiž garām transportlīdzekļi, kas aiz tā izveidojuši sastrēgumu.”.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 projekta 18.punktā piedāvāto 110.punkta otrā teikuma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noteikumus ar 15.</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Papildu prasības vadītājiem lietojot ātrgaitas 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r w:rsidR="00000000" w:rsidRPr="00000000" w:rsidDel="00000000">
              <w:rPr>
                <w:vertAlign w:val="superscript"/>
                <w:rtl w:val="0"/>
              </w:rPr>
              <w:t xml:space="preserve">1</w:t>
            </w:r>
            <w:r w:rsidR="00000000" w:rsidRPr="00000000" w:rsidDel="00000000">
              <w:rPr>
                <w:rtl w:val="0"/>
              </w:rPr>
              <w:t xml:space="preserve"> Ātrgaitas ceļa lietošana, ieskaitot šķērsošanu, ir aizliegta gājējiem, dzīvnieku pārvietošanai ārpus transportlīdzekļa, velosipēdu, elektroskrejriteņu, mopēdu, traktortehnikas, pajūgu un transportlīdzekļu, kuri nevar braukt ar lielāku ātrumu par 60 km/h vadītājiem;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r w:rsidR="00000000" w:rsidRPr="00000000" w:rsidDel="00000000">
              <w:rPr>
                <w:vertAlign w:val="superscript"/>
                <w:rtl w:val="0"/>
              </w:rPr>
              <w:t xml:space="preserve">2</w:t>
            </w:r>
            <w:r w:rsidR="00000000" w:rsidRPr="00000000" w:rsidDel="00000000">
              <w:rPr>
                <w:rtl w:val="0"/>
              </w:rPr>
              <w:t xml:space="preserve"> Piespiedu apstāšanās gadījumā uz ātrgaitas ceļa vai transportlīdzeklis jānovieto uz nomales vai speciāli šim gadījuma paredzētā apstāšanās vietā. Transportlīdzekļa vadītājam nekavējoties jāiededz avārijas gaismas signalizācija un transportlīdzekļa aizmugurē attālumā, kas ir ne mazāks par 100 m, jāizliek avārijas 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r w:rsidR="00000000" w:rsidRPr="00000000" w:rsidDel="00000000">
              <w:rPr>
                <w:vertAlign w:val="superscript"/>
                <w:rtl w:val="0"/>
              </w:rPr>
              <w:t xml:space="preserve">3</w:t>
            </w:r>
            <w:r w:rsidR="00000000" w:rsidRPr="00000000" w:rsidDel="00000000">
              <w:rPr>
                <w:rtl w:val="0"/>
              </w:rPr>
              <w:t xml:space="preserve"> Uz ātrgaitas ceļa aizliegts apstāties un stāvēt, apgriezties braukšanai pretējā virzienā, braukt atpakaļgaitā un to šķērsot."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 projekta 19.punktā piedāvāto 159.</w:t>
            </w:r>
            <w:r w:rsidR="00000000" w:rsidRPr="00000000" w:rsidDel="00000000">
              <w:rPr>
                <w:vertAlign w:val="superscript"/>
                <w:rtl w:val="0"/>
              </w:rPr>
              <w:t xml:space="preserve">2</w:t>
            </w:r>
            <w:r w:rsidR="00000000" w:rsidRPr="00000000" w:rsidDel="00000000">
              <w:rPr>
                <w:rtl w:val="0"/>
              </w:rPr>
              <w:t xml:space="preserve">punkta pirmā teikuma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Izteikt 200.3.apakšpunktu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“200.3. braukt pa ietvi, ja braukšana pa brauktuvi, ņemot vērā ceļu satiksmes intensitāti, ceļa un meteoroloģiskos apstākļus, nav iespējama, ir apgrūtināta vai bīstama. Braucot pa ietvi, velosipēdu vadītājiem jāizvēlas tāds braukšanas ātrums, lai nekādā veidā netiktu apdraudēti vai traucēti gājēji. Ja pastāv risks, ka velosipēdu vadītāji var apdraudēt vai traucēt gājējus, velosipēdu vadītājiem jābrauc ar ātrumu, kas nepārsniedz gājēju pārvietošanās ātrumu vai jāaptur velosipēds. Gājējiem, pārvietojoties pa ietvi, ir priekš­roka. Braucot pa ietvi vietās, kur velosipēdu vadītāju braukšanas trajektorijas krustojas ar pārējo transportlīdzekļu braukšanas trajektorijām, velosipēdu vadītājiem jānovērtē attālums līdz transportlīdzekļiem, kas tuvojas, kā arī jānovērtē to braukšanas ātrums un jāpārliecinās par drošību.”.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200.3. apakšunktā svītrot vārdus "nekādā veidā", kas būtībā rada tikai liekvārdību.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Cingele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Izteikt 212.</w:t>
            </w:r>
            <w:r w:rsidR="00000000" w:rsidRPr="00000000" w:rsidDel="00000000">
              <w:rPr>
                <w:vertAlign w:val="superscript"/>
                <w:rtl w:val="0"/>
              </w:rPr>
              <w:t xml:space="preserve">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r w:rsidR="00000000" w:rsidRPr="00000000" w:rsidDel="00000000">
              <w:rPr>
                <w:vertAlign w:val="superscript"/>
                <w:rtl w:val="0"/>
              </w:rPr>
              <w:t xml:space="preserve">6</w:t>
            </w:r>
            <w:r w:rsidR="00000000" w:rsidRPr="00000000" w:rsidDel="00000000">
              <w:rPr>
                <w:rtl w:val="0"/>
              </w:rPr>
              <w:t xml:space="preserve"> Elektroskrejritenim braukšanas laikā priekšpusē deg baltas gaismas lukturis, bet aizmugurē – sarkanas gaismas lukturis. Elektroskrejriteņa vadītājam vecumā no 14 līdz 17 gadiem ir jābūt galvā uzvilktai aizsprādzētai aizsargķiverei. Ja lukturu nav vai tie nedarbojas, elektroskrejriteņa vadītājam jābūt tērptam atstarojošā vestē vai apģērbā ar labi redzamiem gaismu atstarojoša materiāla elementiem.".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30.punktā piedāvātājā 212.</w:t>
            </w:r>
            <w:r w:rsidR="00000000" w:rsidRPr="00000000" w:rsidDel="00000000">
              <w:rPr>
                <w:vertAlign w:val="superscript"/>
                <w:rtl w:val="0"/>
              </w:rPr>
              <w:t xml:space="preserve">6</w:t>
            </w:r>
            <w:r w:rsidR="00000000" w:rsidRPr="00000000" w:rsidDel="00000000">
              <w:rPr>
                <w:rtl w:val="0"/>
              </w:rPr>
              <w:t xml:space="preserve">punkta pirmajā teikumā vārdu "deg" ar vārdu "jādeg", tādējādi formulējot attiecīgo gaismas lukturu iedegšanu braukšanas laikā kā obligāti izpildāmu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22-TA-2915</w:t>
    </w:r>
    <w:r>
      <w:br/>
    </w:r>
    <w:r w:rsidR="00000000" w:rsidRPr="00000000" w:rsidDel="00000000">
      <w:rPr>
        <w:rtl w:val="0"/>
      </w:rPr>
      <w:t xml:space="preserve">Izdrukāts 10.08.2023.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22-TA-2915</w:t>
    </w:r>
    <w:r>
      <w:br/>
    </w:r>
    <w:r w:rsidR="00000000" w:rsidRPr="00000000" w:rsidDel="00000000">
      <w:rPr>
        <w:rtl w:val="0"/>
      </w:rPr>
      <w:t xml:space="preserve">Izdrukāts 10.08.2023.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Atzinumi_22-TA-2915.docx</dc:title>
</cp:coreProperties>
</file>

<file path=docProps/custom.xml><?xml version="1.0" encoding="utf-8"?>
<Properties xmlns="http://schemas.openxmlformats.org/officeDocument/2006/custom-properties" xmlns:vt="http://schemas.openxmlformats.org/officeDocument/2006/docPropsVTypes"/>
</file>