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Farmācijas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paplašina gan slēgta tipa jeb ārstniecības iestādes aptieku (slimnīcu aptieku), gan vispārēja tipa aptieku iespēju nepieciešamības gadījumā iegādāties zāles citā Eiropas Savienības dalībvalstī un Eiropas Ekonomikas zonas valstī no Eiropas Savienības dalībvalstī vai Eiropas Ekonomikas zonas valstī no licencētiem zāļu ražotājiem un zāļu vairumtirgotājiem, un nereģistrētās zāles izņēmuma gadījumos trešajā valstī no zāļu ražotājiem un zāļu vairumtirgotājiem, ir secināms, ka likumprojekts pirmšķietami ir vērsts uz konkurences apstākļu palielināšanu, proti, palielinot zāļu iegādes avotus arī citās valstīs, un var arī netieši ietekmēt zāļu maksu, ja pastāv plašāks konkurences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aizpildīt Anotācijas 2.sadaļas 2.2.5.apakšpunktu par tiesiskā regulējuma ietekmi uz konkurenci un izvērtēt, vai konkurences apstākļi netiek radīti atšķirīgi.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Kudure-Ševčuka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14.05.2025.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14.05.2025.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Atzinumi_25-TA-588.docx</dc:title>
</cp:coreProperties>
</file>

<file path=docProps/custom.xml><?xml version="1.0" encoding="utf-8"?>
<Properties xmlns="http://schemas.openxmlformats.org/officeDocument/2006/custom-properties" xmlns:vt="http://schemas.openxmlformats.org/officeDocument/2006/docPropsVTypes"/>
</file>