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pasākumi nozaru vajadzībās balstītai pieaugušo izglītībai un to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nozaru vajadzībās balstītai pieaugušo izglītībai un to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2024. janvāra redakcijā saskaņotā 55. punkta normatīvo regulējumu par projekta īstenošanas nodrošināšanai nepieciešamā Avansa maksājuma saņemšanas kārtību, attiecīgi precizējot Projekta redakciju, iekļaujot papildu punktu un apakšpunktus šādā redakcijā (attiecīgi precizējot Projekta pārējo punktu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Pasākuma ietvaros var saņemt avansa maksājumu saskaņā ar normatīvajos aktos par valsts budžeta līdzekļu plānošanas kārtību Eiropas Savienības fondu projektu īstenošanai un maksājumu veikšanai 2021. -2027. gada plānošanas periodā,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avansa maksājums nepārsniedz 30 % no projektam piešķirtā publiskā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avansa maksājums ir pieejams, ja finansējuma saņēmējs ir atvēris kontu Valsts kasē vai darījumu kontu Latvijā reģistrētā kredītiestādē, vai kontu Latvijā reģistrētā kredītiestādē un iesniedzis bankas garantiju par avansa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lai saņemtu avansa maksājumu, finansējuma saņēmējs iesniedz Vadības informācijas sistēmā avansa pieprasījumu un plānotā avansa apjoma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32.2.8. pasniedzēju ceļa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punktā 32.2.8. pie atbalstāmajām izmaksām norādīt izmitināšanas izmaksas, formulējot sekojoši: “pasniedzēju ceļa (transporta) un izmitināšanas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32.2.8. pasniedzēju ceļa (transporta) un izmitināšanas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2024. janvāra redakcijā saskaņoto 2. pielikuma 1.8. punktu, proti, aicinām saglabāt papīra ražošanu un poligrāfiju kā atsevišķu atbalstāmo nozari un nepievienot to pie vieglās rūpniecības.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 punkta “Mācību nodrošināšana” redakciju, skaidri nodalot formālo, neformālo un mācību veidus, kas nav neformālās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20.03.2024.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20.03.2024.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