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1.4.1. specifiskā atbalsta mērķa “Uzlabot digitālo savienojamību” 1.4.1.1. pasākuma “Platjoslas infrastruktūras attīstība (pēdējā jūdze)”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plānotais kopējais attiecināmais finansējums ir 8 700 000 </w:t>
            </w:r>
            <w:r w:rsidR="00000000" w:rsidRPr="00000000" w:rsidDel="00000000">
              <w:rPr>
                <w:i w:val="1"/>
                <w:rtl w:val="0"/>
              </w:rPr>
              <w:t xml:space="preserve">euro</w:t>
            </w:r>
            <w:r w:rsidR="00000000" w:rsidRPr="00000000" w:rsidDel="00000000">
              <w:rPr>
                <w:rtl w:val="0"/>
              </w:rPr>
              <w:t xml:space="preserve"> (tai skaitā elastības finansējuma apjoms 1 372 211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w:t>
            </w:r>
            <w:r w:rsidR="00000000" w:rsidRPr="00000000" w:rsidDel="00000000">
              <w:rPr>
                <w:rtl w:val="0"/>
              </w:rPr>
              <w:t xml:space="preserve"> (tai skaitā elastības finansējuma apjoms 1 166 379 </w:t>
            </w:r>
            <w:r w:rsidR="00000000" w:rsidRPr="00000000" w:rsidDel="00000000">
              <w:rPr>
                <w:i w:val="1"/>
                <w:rtl w:val="0"/>
              </w:rPr>
              <w:t xml:space="preserve">euro</w:t>
            </w:r>
            <w:r w:rsidR="00000000" w:rsidRPr="00000000" w:rsidDel="00000000">
              <w:rPr>
                <w:rtl w:val="0"/>
              </w:rPr>
              <w:t xml:space="preserve">) un privātais finansējums – ne mazāks par 1 305 000 </w:t>
            </w:r>
            <w:r w:rsidR="00000000" w:rsidRPr="00000000" w:rsidDel="00000000">
              <w:rPr>
                <w:i w:val="1"/>
                <w:rtl w:val="0"/>
              </w:rPr>
              <w:t xml:space="preserve">euro</w:t>
            </w:r>
            <w:r w:rsidR="00000000" w:rsidRPr="00000000" w:rsidDel="00000000">
              <w:rPr>
                <w:rtl w:val="0"/>
              </w:rPr>
              <w:t xml:space="preserve"> (tai skaitā elastības finansējuma apjoms 205 832 </w:t>
            </w:r>
            <w:r w:rsidR="00000000" w:rsidRPr="00000000" w:rsidDel="00000000">
              <w:rPr>
                <w:i w:val="1"/>
                <w:rtl w:val="0"/>
              </w:rPr>
              <w:t xml:space="preserve">euro</w:t>
            </w:r>
            <w:r w:rsidR="00000000" w:rsidRPr="00000000" w:rsidDel="00000000">
              <w:rPr>
                <w:rtl w:val="0"/>
              </w:rPr>
              <w:t xml:space="preserve">). Maksimālā Eiropas Reģionālās attīstības fonda finansējuma intensitāte ir 85 % no projektam plānotā kopējā attiecināmā finansējuma, un privātais līdzfinansējums nav mazāks par 15 % no projektam plānotā kopējā attiecināmā finansējuma. Potenciālo neto ienākumu no projekta aprēķina saskaņā ar projekta diskontēto neto ienākumu aprēķināšanas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apstiprināto pasākuma ERAF finansējuma apjomu, kā arī Satiksmes ministrijas ierosinājumu sadalīt pasākuma īstenošanu divās kārtās, lūdzam par vienu euro palielināt privāto finansējumu, lai tiktu saglabāta ERAF finansējuma intensitāte, kura nevar pārsniegt 85%. Proti, privātais finansējums – ne mazāks par 1 305 001 euro. Vienlaikus lūdzam precizēt arī kopējo pasākuma finansējumu - 8 700 001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FM komentāru par privātā finansējuma palielināšanu MK noteikumu projekta 11.punktā, lūdzam palielināt par 1 euro arī 12.punktā iekļauto privāto finansējumu, proti, 1 099 169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var piesaistīt sadarbības partneri, noslēdzot sadarbības līgumu atbilstoši normatīvajiem aktiem par kārtību, kādā Eiropas Savienības fondu vadībā iesaistītās institūcijas nodrošina šo fondu ieviešanu 2021.–2027. gada plānošanas periodā. Sadarbības līgums nosaka savstarpējo atbildību, funkcijas, finansēšanas mehānismu (ja attiecināms), apņemšanos sasniegt projektam noteiktos rādītājus, pārskatu sniegšanas kārtību un pienākumus projekta sekmīgai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ir ietvertai informācija, ka projekta iesniedzējs var piesaistīt sadarbības partneri, kurš arī ir elektronisko sakaru komersants, kā arī var izpildīt minēto prasību par tīkla nodrošināšanu 300 adresēs kopā ar partneri. Attiecīgi, lūdzam papildināt MKN noteikumu projektu ar šādu punkta normu un/vai tās papildinājumu.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uzsāk projektā paredzēto darbību īstenošanu pēc projekta iesnieguma iesniegšanas sadarbības iestādē, atbilstoši regulas </w:t>
            </w:r>
            <w:r w:rsidR="00000000" w:rsidRPr="00000000" w:rsidDel="00000000">
              <w:rPr>
                <w:rtl w:val="0"/>
              </w:rPr>
              <w:t xml:space="preserve">Nr. 651/2024</w:t>
            </w:r>
            <w:r w:rsidR="00000000" w:rsidRPr="00000000" w:rsidDel="00000000">
              <w:rPr>
                <w:rtl w:val="0"/>
              </w:rPr>
              <w:t xml:space="preserve"> 6. panta 2. punktam un </w:t>
            </w:r>
            <w:r w:rsidR="00000000" w:rsidRPr="00000000" w:rsidDel="00000000">
              <w:rPr>
                <w:rtl w:val="0"/>
              </w:rPr>
              <w:t xml:space="preserve">Nr. 651/2014</w:t>
            </w:r>
            <w:r w:rsidR="00000000" w:rsidRPr="00000000" w:rsidDel="00000000">
              <w:rPr>
                <w:rtl w:val="0"/>
              </w:rPr>
              <w:t xml:space="preserve"> 2. panta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31. punktā norādīto, ka izmaksas attiecināmas arī uz sadarbības partneri un noteikumu projekta 44. punktā norādīto, ka projekta rezultātā veiktie ieguldījumi ir arī sadarbības partnera (ja attiecināms) īpašums, lūdzam atbilstoši precizēt noteikumu projekta 24. punktu, nosakot, ka arī uz sadarbības partneri (ja attiecināms) ir attiecināmi stimulējošās ietekmes nosacījumi, kas izriet no Komisijas regulas Nr. 651/2024 6. panta 2. punkta un 2. panta 23.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finansējuma saņēmējs vai sadarbības partneris, atbilstoši normatīvajiem aktiem būvniecības jomā ir reģistrēts Būvniecības informācijas sistēmā kā būvkomersants attiecīgajā specialitātē un darbības sfērā, kurā veikti attiecīgie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 punkta norma ar prasību tikai vienam no partneriem būt reģistrētam kā būvkomersantam nenonāk pretrunā ar 21.punktu un anotācijā skaidroto, ka finansējuma saņēmējs var piesaistīt sadarbības partneri, kas ari ir elektronisko sakaru komersants un kopā tie var izpildīt minēto prasību par tīkla nodrošināšanu 300 adresēs, proti, vai ir iespējama tīkla nodrošināšana bez būvkomersanta statusa.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projektu īstenošanas un uzraudzības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paredzēts saimnieciskās darbības veicējam, MK noteikumu projektā jābūt noteiktam, ka plānotais atbalsts jāvērtē un jāpiešķir saistīto uzņēmumu līmenī, ko nosaka atbilstoši Komisijas regulas Nr. 651/2014 I pielikumā 3.panta 3.punktā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nodrošina īpašuma, lietojuma vai apbūves tiesību iegūšanu uz nekustamo īpašumu, kurā plānots veikt ieguldījumus, projekta īstenošanas laikā. Tās nostiprina valsts vienotajā datorizētajā zemesgrāmatā, izņemot gadījumu, ja nacionālais normatīvais regulējums nosaka citu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šis nosacījums par īpašuma, lietojuma vai apbūves tiesību iegūšanu uz nekustamo īpašumu, kurā plānots veikt ieguldījumus, projekta īstenošanas laikā, nodrošina MK noteikumu 37.1. apakšpunkta prasību par projekta rezultātu ilgtspējas nodrošināšanu vismaz piecus gadus pēc projekta pabeigšanas. Nepieciešamības gadījumā lūdzam precizēt šī punkta normas nosacījumus, lai salāgotu tās ar projekta ilgtspējas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projekta īstenošanai nepieciešamo preču un pakalpojumu iegādi veic saskaņā ar normatīvajiem aktiem par iepirkuma procedūru un tās piemērošanas kārtību pasūtītāja finansētiem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projekta īstenošanai nepieciešamo preču un pakalpojumu sniedzējiem netiek piešķirts komercdarbības atbalsts, lūdzam noteikumu projekta 40.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(ja attiecināms) projekta īstenošanai nepieciešamo preču un pakalpojumu iegādi veic saskaņā ar publisko iepirkumu reglamentējošajiem normatīvajiem aktiem, īstenojot atklātu, pārredzamu, nediskriminējošu un konkurenci nodrošinošu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komercdarbības regulējuma nosacījumi, kas attiecināmi uz ieguldījumiem fiksēto platjoslas tīklu infrastruktūrā,  jāievēro visā pasākuma ietvaros attīstītās infrastruktūras amortizācijas periodā jeb dzīves ciklā. Attiecīgi lūdzam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netiek pārsniegtas Komisijas regulas Nr. 651/2014 4. panta y) apakšpunktā noteiktās paziņošanas robežvērtības, lūdzam papildināt noteikumu projektu ar atbilstošu normu. Papildus lūdzam arī atbilstoši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pasākumā plānoti ieguldījumi gan finansējuma saņēmēja, gan sadarbības partnera īpašumā/infrastruktūrā, lūdzam precizēt noteikumu projekta normas par komercdarbības atbalsta piemērošanu, attiecinot komercdarbības atbalsta nosacījumus arī uz sadarbības partneri (piemēram, noteikumu projekta 45.4., 45.5. apakšpunkts).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normu, kas nosaka termiņu, līdz kuram var pieņemt lēmumu par atbalsta piešķiršanu, ievērojot Komisijas regulas Nr. 651/2014 58. panta 4. punktā un 59. pantā noteikto darbības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uz pasākumu attiecināmiem uzraudzības un dokumentu glabāšanas nosacījumiem, kas izriet no Komisijas regulas Nr. 651/2014 12. panta gan attiecībā uz atbalsta sniedzēju, gan atbalsta saņēmēju.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Uz projekta iesnieguma iesniegšanas dienu un atbalsta piešķiršanas brīdi tiek vērtēts, vai finansējuma saņēmējs un sadarbības partneris nav grūtībās nonācis uzņēmums, kas definēts regulas </w:t>
            </w:r>
            <w:r w:rsidR="00000000" w:rsidRPr="00000000" w:rsidDel="00000000">
              <w:rPr>
                <w:rtl w:val="0"/>
              </w:rPr>
              <w:t xml:space="preserve">Nr. 651/2014</w:t>
            </w:r>
            <w:r w:rsidR="00000000" w:rsidRPr="00000000" w:rsidDel="00000000">
              <w:rPr>
                <w:rtl w:val="0"/>
              </w:rPr>
              <w:t xml:space="preserve"> 2. panta 18.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Nr. 651/2014 2. panta 18. punkta nosacījumi ir jāvērtē/jāpiemēro uzņēmuma grupas līmenī (Komisijas Regulas Nr. 651/2014 angliskajā versijā nosacījumi, kas ir attiecināmi uz ‘undertaking’, ir jāpārbauda/jāpiemēro uzņēmuma grupas līmenī). Attiecīgi lūdzam papildināt noteikumu projekta 47. punktu ar nosacījumu, ka finansējuma saņēmējs un sadarbības partneris (ja attiecināms) tiks vērtēts grupas līmenī, tādējādi nodrošinot, ka finansējuma saņēmējs un sadarbības partneris tiek vērtēti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Atbalsts netiek sniegts finansējuma saņēmējam un sadarbības partnerim (ja attiecināms), uz kuru attiecas neizpildīts līdzekļu atgūšanas rīkojums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1. panta 4. punkta nosacījumi ir jāvērtē/jāpiemēro uzņēmuma grupas līmenī, jo Komisijas regulas Nr. 651/2014 angliskajā versijā nosacījumi, kas ir attiecināmi uz “undertaking”, ir jāpārbauda/jāpiemēro uzņēmuma grupas līmenī. Ņemot vērā iepriekš minēto, lūdzam precizēt noteikumu projekta 50. punktu tā, lai nodrošinātu, ka finansējuma saņēmējs un sadarbības partneris (ja attiecināms) tiek vērtēts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 un 2024. gadā ES Padome izteica rekomendācijas saistībā ar digitālā savienojamība atbalstu, lūdzam ietvert atsauci uz konkrēto rekomendāciju un norādīt, kā plānotās darbības pasākuma ietvaros ir vērstas uz rekomendācijas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2.4.1.2.i. investīcijas ietvaros projektu iesniegšana notika līdz 2024. gada 30. jūnijam, un projekta rādītāji ir jāsasniedz līdz 2026. gada 30. jūnijam, kas var pārklāties ar 1.4.1.1. pasākumā veicamajām darbībām, kā arī lai novērstu demarkācijas riskus, aicinām papildināt anotāciju, norādot, ka objekti tiks vērtēti adrešu līmenī, ņemot vērā valsts atbalsta nosacījumus un salīdzinot tos ar iesniegtajiem projektiem, neatkarīgi no finansējuma avota, apstiprinot gan projektus, gan maksājuma pieprasījumus.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nosaka kopējo sasniedzamo iznākuma rādītāju: 1565 papildu mājokļi un 521 papildu uzņēmums ar piekļuvi ļoti augstas veiktspējas platjoslas tīklam. No tiem projekta pirmajā kārtā jānodrošina 1120 papildu mājokļi un 375 uzņēmumi. Savukārt anotācijā (risinājuma apraksts) minēts vienots sasniedzamais rādītājs — 2086 galalietotāji. Lai nodrošinātu, ka finansējuma saņēmējiem ir skaidri atlases īstenošanas nosacījumi, aicinām anotācijā norādīt atlases kārtām atbilstošus sasniedzamos rādītājus, paredzot sasniedzamos rezultātus atlases pirmajā kārtā un kopējā rādītāja sasniegšanu projekta otrās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īstenojot pasākumu, piemērot sociāli atbildīga publiskā iepirkumu un inovatīvu publiskā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sagatavotā informācija par Sociāli atbildīgu publisko iepirkumu pieejama šeit: https://www.iub.gov.lv/lv/socialais-iepirkums. Vienlaikus aicinām izmantot Vadlīnijas sociāli atbildīga publiskā iepirkuma īstenošanai; pieejamas: https://www.iub.gov.lv/lv/media/658/download; Ārvalstu prakses apkopojums; pieejams: https://www.iub.gov.lv/lv/media/877/download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sagatavotā informācija par Inovatīvo publisko iepirkumu pieejama šeit: https://www.iub.gov.lv/lv/inovativais-iepirkums?utm_source=https%3A%2F%2Fwww.google.com%2F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KPMG Baltics SIA un Oxford Research Baltics SIA, 2022. gadā veikto izvērtējumu (https://www.esfondi.lv/izvertejumi-1), pasākumam ir iespējams piemērot vienkāršotās izmaksas. Tādējādi lūdzam izvērtēt iespēju, īstenojot 1.4.1.1. pasākumu, piemērot vienkāršoto izmaksu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Termini "vairumtirdzniecības līmeņa piekļuve" un "maksimumstundas apstākļi" šajos noteikumos lietoti </w:t>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r w:rsidR="00000000" w:rsidRPr="00000000" w:rsidDel="00000000">
              <w:rPr>
                <w:rtl w:val="0"/>
              </w:rPr>
              <w:t xml:space="preserve"> (turpmāk – regula Nr. 651/2014),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norādot konkrētos Komisijas regulas Nr. 651/2014 pantus un punktus, kuros iekļautas šajā punktā minētās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vienlīdzīgu un kvalitatīvu elektronisko sakaru pakalpojumu pieejamību galalietotājiem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SM pasākuma mērķi formulēt ne tik vispārīgu, bet atbilstoši pasākuma ietvaros plānotajam atbalstam, piemēram, nodrošinot mūsdienīgam prasībām atbilstošu, ļoti augstas veiktspējas elektronisko sakaru pieejamību galalietotājiem.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visi īstenotie projekti ir stratēģiskas nozīmes projekti saskaņā ar Eiropas Savienības kohēzijas politikas programmu 2021.–2027. gadam un tiesību aktiem par Eiropas Savienības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viennozīmīgu interpretāciju, lūdzam konkretizēt noteikumu projekta 8. punktā minēto tiesību aktu jomu, ņemot vērā, ka esošā norāde "tiesību aktiem par Eiropas Savienības fondu ieviešanu 2021.-2027. gada plānošanas periodā" ir vispārīga.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nodrošina kartografēšanu un sabiedrisko apspriešanu, lūdzot elektronisko sakaru komersantiem iesniegt pamatotu informāciju par to tīkliem, kuri atrodas vai kurus ticami plānots ierīkot mērķa teritorijā projekta īstenošanas laikā, un darot to publiski pieejamu reģionālā un Satiksmes ministrijas tīmekļvietnē atbilstoši regulas </w:t>
            </w:r>
            <w:r w:rsidR="00000000" w:rsidRPr="00000000" w:rsidDel="00000000">
              <w:rPr>
                <w:rtl w:val="0"/>
              </w:rPr>
              <w:t xml:space="preserve">Nr. 651/2014</w:t>
            </w:r>
            <w:r w:rsidR="00000000" w:rsidRPr="00000000" w:rsidDel="00000000">
              <w:rPr>
                <w:rtl w:val="0"/>
              </w:rPr>
              <w:t xml:space="preserve"> 52. panta 5.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10.1. apakšpunktā, 37.4.2. un 37.4.3. punktā ietverto norādi uz Satiksmes ministriju, ņemot vērā, ka noteikumu projekta 9. punktā atrunāts saīsinājums "atbildīgā iestāde" un 10. punkta ievaddaļā atrunāts saīsinājums "nozares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 ka šis termiņš ir attiecināms tikai uz 1.kārtas līguma 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Pēc 2026. gada 1. janvāra atbilstoši Eiropas Komisijas lēmumam par vidusposma pārskatu atbildīgā iestāde var ierosināt sadarbības iestādei palielināt pasākumam pieejamo Eiropas Reģionālās attīstības fonda finansējumu līdz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minētajam plānotajam kopējam finansējuma apmēram. Ja pasākumam pieejamais Eiropas Reģionālās attīstības fonda finansējums tiek palielināts, sadarbības iestāde izsludina projektu atlases otro kārtu par pieejamo finansējumu, tostarp (ja attiecināms) par neizmantoto pirmās atlases kārtas finansējumu. Projektu atlases otrajā kārtā apstiprina vienu projektu par visu Latvijas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14. punkta pēdējo teikumu aiz vārda "apstiprina" ar vārdiem "ne vairāk kā", ņemot vērā, ka pastāv risks, ka projekta iesniegums neatbilst kritērijiem un citām prasībām, lai to apstiprinātu.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rādītāju sasniegšanu finansējuma saņēmējs apraksta progresa ziņojumā, kuru tas iesniedz sadarbības iestādei, un kura saturs un sniegšanas kārtība ir noteikta līgumā par projekta īstenošanu. Progresa ziņojumā iekļauj vismaz šādas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saņēmējiem būtu skaidri projekta īstenošanas nosacījumi, lūdzam sniegt papildu skaidrojumu par to, vai noteikumu projekta 19.punktā minētais progresa pārskats ir jāparedz kā papildu iesniedzamais dokuments, papildus jau maksājumu pieprasījumā paredzētajai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Atbilstību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noteiktajām prasībām projekta iesniedzējs apliecina, iesniedzot sadarbības iestādē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noteikto informāciju. Sadarbības partnerim ir pienākums ievērot šo noteikumu </w:t>
            </w:r>
            <w:r w:rsidR="00000000" w:rsidRPr="00000000" w:rsidDel="00000000">
              <w:rPr>
                <w:rtl w:val="0"/>
              </w:rPr>
              <w:t xml:space="preserve">37.6.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nolikuma izstrādes procesā var rasties nepieciešamība pēc precizējumiem pievienojamos dokumentos, tostarp pielikumā. Lai nodrošinātu iespēju pielāgot pielikumu atlases nolikuma specifikai un vērtēšanas kritēriju prasībām, kā arī iespēju apvienot visus būtiskākos pielikumus vienā datnē, tādējādi padarot projekta iesnieguma aizpildīšanas un pēctecīgi arī pārbaudes procesu vieglāku un pārskatāmāku, aicinām iekļaut pielikumu kā projekta iesniegumu atlases nolikuma daļu un izslēgt to no MK noteikumu 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uzsāk projektā paredzēto darbību īstenošanu pēc projekta iesnieguma iesniegšanas sadarbības iestādē, atbilstoši regulas </w:t>
            </w:r>
            <w:r w:rsidR="00000000" w:rsidRPr="00000000" w:rsidDel="00000000">
              <w:rPr>
                <w:rtl w:val="0"/>
              </w:rPr>
              <w:t xml:space="preserve">Nr. 651/2024</w:t>
            </w:r>
            <w:r w:rsidR="00000000" w:rsidRPr="00000000" w:rsidDel="00000000">
              <w:rPr>
                <w:rtl w:val="0"/>
              </w:rPr>
              <w:t xml:space="preserve"> 6. panta 2. punktam un </w:t>
            </w:r>
            <w:r w:rsidR="00000000" w:rsidRPr="00000000" w:rsidDel="00000000">
              <w:rPr>
                <w:rtl w:val="0"/>
              </w:rPr>
              <w:t xml:space="preserve">Nr. 651/2014</w:t>
            </w:r>
            <w:r w:rsidR="00000000" w:rsidRPr="00000000" w:rsidDel="00000000">
              <w:rPr>
                <w:rtl w:val="0"/>
              </w:rPr>
              <w:t xml:space="preserve"> 2. panta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saņēmējiem būtu skaidri projekta īstenošanas nosacījumi, lūdzam pārskatīt visu noteikumu projekta redakciju un, ja nepieciešams, precizēt to, lai noteikumu projekta punkti saturiski nedublētu citus punktus. Piemēram, noteikumu projekta 24. punkts atkārto 48. punktā norādīto, 37.5 apakšpunkts atkārto 38.punktu, savukārt 46. punkts dublē un apkopo 6., 12., 13. un 14. punktos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30.11. </w:t>
            </w:r>
            <w:r w:rsidR="00000000" w:rsidRPr="00000000" w:rsidDel="00000000">
              <w:rPr>
                <w:rtl w:val="0"/>
              </w:rPr>
              <w:t xml:space="preserve">apakšpunktā</w:t>
            </w:r>
            <w:r w:rsidR="00000000" w:rsidRPr="00000000" w:rsidDel="00000000">
              <w:rPr>
                <w:rtl w:val="0"/>
              </w:rPr>
              <w:t xml:space="preserve"> noteiktās attiecināmās izmaksas, izņemot materiālu un iekārtu iegādes un būvdarbu uzraudzības izmaksas, un nepārsniedzot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noteiktos attiecināmo izmaksu ierobežojumus, iespējams attiecināt finansējuma saņēmējam vai sadarbības partnerim, ja ir izpildīti visi uzskaitītie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saņēmējiem būtu skaidri projekta īstenošanas nosacījumi un ņemot vērā, ka noteikumu projekta 39. punkts nosaka ierobežojumus, kas attiecas uz avansa maksājuma izmaksas kārtību, nevis uz attiecināmajām izmaksām, lūdzam noteikumu projekta 31. punktā dzēst atsauci uz 39.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īstenošanas gaitā radušās sadārdzinājuma izmaksas finansējuma saņēmējs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atbalsts tiek piešķirts kā komercdarbības atbalsts, projekta īstenošanas gaitā radušās sadārdzinājuma izmaksas finansējuma saņēmējs un sadarbības partneris (ja attiecināms) sedz no saviem līdzekļiem, kas brīvi no jebkāda komercdarbības atbalsta. Ņemot vērā to, ka no noteikumu projekta nav skaidrs, ko ietver jēdziens “savi līdzekļi”, aicinām izteikt noteikumu projekta 36. punktu, piemēram,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radušās sadārdzinājuma izmaksas finansējuma saņēmējs un sadarbības partneris (ja attiecināms) sedz no saviem līdzekļiem, kas ir brīvi no jebkāda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nodrošina komunikācijas un vizuālās identitātes pasākumus atbilstoši nosacījumiem saskaņā ar regulas </w:t>
            </w:r>
            <w:r w:rsidR="00000000" w:rsidRPr="00000000" w:rsidDel="00000000">
              <w:rPr>
                <w:rtl w:val="0"/>
              </w:rPr>
              <w:t xml:space="preserve">Nr. 2021/1060</w:t>
            </w:r>
            <w:r w:rsidR="00000000" w:rsidRPr="00000000" w:rsidDel="00000000">
              <w:rPr>
                <w:rtl w:val="0"/>
              </w:rPr>
              <w:t xml:space="preserve"> 47. pantu un 50. pantu, un kārtību, kādā Eiropas Savienības fondu vadībā iesaistītās institūcijas nodrošina šo fondu ieviešanu 2021.–2027.gada plānošanas periodā, ņemot vērā stratēģiskas nozīmes projektam noteiktās prasības, kas noteiktas vadošās iestādes izstrādāto Eiropas Savienības fondu 2021.–2027. gada plānošanas perioda un Atveseļošanas fonda komunikācijas un dizaina vadlīniju 3. nodaļā “Atveseļošanas fonda prasības”,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komunikācijas un vizuālās identitātes pasākumu nodrošināšanu kā atbalstāmo darbību, tai atbilstoši paredzot arī attiecināmo izmaksu pozīciju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Pēc tam, kad noslēgts līgums par projekta īstenošanu, sadarbības iestāde, pamatojoties uz finansējuma saņēmēja rakstisku avansa pieprasījumu, atbilstoši normatīvajam aktam par valsts budžeta līdzekļu plānošanu Eiropas Savienības struktūrfondu un Kohēzijas fonda projektu īstenošanai un maksājumu veikšanu 2021.–2027. gada plānošanas periodā var piešķirt finansējuma saņēmējam avansa maksājumus. Maksimālais avansa apjoms nevar pārsniegt 30 % no projektam piešķirtā Eiropas Reģionālās attīstības fonda finansējuma. Avansu var izmaksāt vairākos maksājumos. Sadarbības iestāde, veicot avansa un starpposma maksājumus, ievēro nosacījumu, ka to kopsumma nedrīkst pārsniegt 90 % no projektam piešķirtā Eiropas Reģionālās attīstības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39. punktā vārdus "Eiropas Savienības struktūrfondu un Kohēzijas fonda" ar vārdiem "Eiropas Savienības fondu", ņemot vērā, ka apzīmējums "Eiropas Savienības struktūrfondi un Kohēzijas fonds" attiecināms uz to 2014.-2020. gada plānošanas perioda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principa "nenodarīt būtisku kaitējumu" ievērošanu un projekta atbilstību Eiropas Savienības un nacionālajiem normatīvajiem aktiem vides jomā,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arī projekta iesniegumu vērtēšanas kritēriju piemērošanas metodikas 3.4. kritērijā, noteikts, ka projekta iesniegums paredz vismaz vienas vispārīgas HP VINPI darbības veikšanu, kas attiecas uz publicitāti, personālu vai publiskajiem iepirkumiem. Lai nodrošinātu informācijas saskaņotību MK noteikumos un pārējā atlases dokumentācijā, ka arī lai projekta nosacījumi ir savstarpēji pamatoti, aicinām papildināt noteikumu projektu ar punktu par nepieciešamību veikt HP VINPI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Projekta rezultātā veiktie ieguldījumi ir finansējuma saņēmēja vai partnera (ja attiecināms)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viennozīmīgu interpretāciju, lūdzam precizēt noteikumu projekta 44. punktu, 45.3. un 45.7. apakšpunktu, aizstājot vārdu "partneris" (attiecīgā locījumā) ar vārdiem "sadarbības partneris"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Informāciju par regulas </w:t>
            </w:r>
            <w:r w:rsidR="00000000" w:rsidRPr="00000000" w:rsidDel="00000000">
              <w:rPr>
                <w:rtl w:val="0"/>
              </w:rPr>
              <w:t xml:space="preserve">Nr. 651/2014</w:t>
            </w:r>
            <w:r w:rsidR="00000000" w:rsidRPr="00000000" w:rsidDel="00000000">
              <w:rPr>
                <w:rtl w:val="0"/>
              </w:rPr>
              <w:t xml:space="preserve"> 52. panta ietvaros izsniegto atbalstu publicē atbilstoši regulas </w:t>
            </w:r>
            <w:r w:rsidR="00000000" w:rsidRPr="00000000" w:rsidDel="00000000">
              <w:rPr>
                <w:rtl w:val="0"/>
              </w:rPr>
              <w:t xml:space="preserve">Nr. 651/2014</w:t>
            </w:r>
            <w:r w:rsidR="00000000" w:rsidRPr="00000000" w:rsidDel="00000000">
              <w:rPr>
                <w:rtl w:val="0"/>
              </w:rPr>
              <w:t xml:space="preserve"> 9. panta 1. un 4. punktā noteiktajām publicitātes pasākumu prasībām saskaņā ar normatīvajiem aktiem par kārtību, kādā publicē informāciju par sniegto valsts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52. punktu, nosakot, kura būs tā iestāde (sadarbības iestāde vai Satiksmes ministrija), kas veiks Komisijas regulas Nr. 651/2014 9. panta 1. un 4. punktā noteikto prasību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ir pārkāpti regulas </w:t>
            </w:r>
            <w:r w:rsidR="00000000" w:rsidRPr="00000000" w:rsidDel="00000000">
              <w:rPr>
                <w:rtl w:val="0"/>
              </w:rPr>
              <w:t xml:space="preserve">Nr. 651/2014</w:t>
            </w:r>
            <w:r w:rsidR="00000000" w:rsidRPr="00000000" w:rsidDel="00000000">
              <w:rPr>
                <w:rtl w:val="0"/>
              </w:rPr>
              <w:t xml:space="preserve"> nosacījumi, atbalsta saņēmējam un sadarbības partnerim ir pienākums atbalsta sniedzējam atmaksāt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 IV vai V nodaļas</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vienotu terminoloģiju, aicinām vārdu "atbalsta saņēmējam" vietā lietot vārdus: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katras intervences kategorijas koda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attiecīgās nozares/ jomas pārstāvošu biedrību, nodibinājumu, nevalstisko organizāciju iesaisti MK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ieguldījumus infrastruktūrā , anotācijā ir janorāda, ka ieguldījumi plānoti saskaņā ar Jauno Eiropas Bauhaus iniciatīvu.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2.1. sadaļas apakšsadaļu "Juridiskās personas" un atbilstošo apakšsadaļu "Ietekmes apraksts", norādot, ka Satiksmes ministrija pildīs atbildīgās iestādes funkcijas, elektronisko sakaru komersanti pildīs finansējuma saņēmēja funkcijas un, ja attiecināms, sadarbības partnera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6.1. sadaļas apakšsadaļā "Valsts un pašvaldību institūcijas" norādi uz Finanšu ministriju, ņemot vērā, ka tā nav piedalījusies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21.11.2024.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21.11.2024.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Atzinumi_24-TA-593.docx</dc:title>
</cp:coreProperties>
</file>

<file path=docProps/custom.xml><?xml version="1.0" encoding="utf-8"?>
<Properties xmlns="http://schemas.openxmlformats.org/officeDocument/2006/custom-properties" xmlns:vt="http://schemas.openxmlformats.org/officeDocument/2006/docPropsVTypes"/>
</file>