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remonta veidlapai noteikto prasību neievērošanu, remontēšanas pienākuma neievērošanu vai noteikto prasību pārkāpšanu un šā likuma 21.8 panta devītās daļas neievērošanu piemēro naudas sodu fiziskajai personai līdz septiņdesmit naudas soda vienībām, bet juridiskajai personai — no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likumprojektu “Grozījumi Patērētāju tiesību aizsardzības likumā” (25-TA-1352) un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direktīvas (ES) 2024/1799 4. pants paredz Eiropas remonta informācijas veidlapas izmantošanu brīvprātīgi, ja patērētājs to pieprasa. Līdz ar to sodu par “remonta veidlapai noteikto prasību neievērošanu” var piemērot tikai tad, ja remontētājs izvēlējies šo veidlapu izmantot, bet nav ievērojis tajā noteikto saturu vai prasības. Ja veidlapa netiek izmantota, sankcija nebūtu piemērojama, jo pienākuma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37. panta redakciju vai anotāciju, skaidri norādot, ka atbildība iestājas tikai tad, ja remontētājs ir izvēlējies piemērot Eiropas remonta informācijas veidlapu, bet nav ievērojis tajā noteikto saturu vai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atzinīgi vērtē, ka anotācijā ir skaidri norādīts — Eiropas remonta informācijas veidlapas izmantošana ir brīvprātīga, un remontētājam nav vispārēja pienākuma to sagatavot vai izsniegt, ja viņš šo instrumentu savā darbībā neizmanto, kas atbilst Direktīvas (ES) 2024/1799 principam, ka remonta veidlapas izmantošana ir brīvprātīga un kalpo kā informatīvs līdzeklis patērētājam, nevis saistošs pienākums uzņēmējam.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gan anotācijā norādīts, ka Ministru kabineta apstiprinātajā Eiropas remonta informācijas veidlapā nevarēs tikt veikti grozījumi ar </w:t>
            </w:r>
            <w:r w:rsidR="00000000" w:rsidRPr="00000000" w:rsidDel="00000000">
              <w:rPr>
                <w:b w:val="1"/>
                <w:rtl w:val="0"/>
              </w:rPr>
              <w:t xml:space="preserve">atšķirīgu</w:t>
            </w:r>
            <w:r w:rsidR="00000000" w:rsidRPr="00000000" w:rsidDel="00000000">
              <w:rPr>
                <w:rtl w:val="0"/>
              </w:rPr>
              <w:t xml:space="preserve"> </w:t>
            </w:r>
            <w:r w:rsidR="00000000" w:rsidRPr="00000000" w:rsidDel="00000000">
              <w:rPr>
                <w:b w:val="1"/>
                <w:rtl w:val="0"/>
              </w:rPr>
              <w:t xml:space="preserve">pieeju</w:t>
            </w:r>
            <w:r w:rsidR="00000000" w:rsidRPr="00000000" w:rsidDel="00000000">
              <w:rPr>
                <w:rtl w:val="0"/>
              </w:rPr>
              <w:t xml:space="preserve"> no ES līmenī noteiktā, LDDK norāda, ka anotācijā nav tieši paredzēts ierobežojums, kas noteiktu, ka Ministru kabineta noteikumi, izstrādājot veidlapas formu un saturu, </w:t>
            </w:r>
            <w:r w:rsidR="00000000" w:rsidRPr="00000000" w:rsidDel="00000000">
              <w:rPr>
                <w:b w:val="1"/>
                <w:rtl w:val="0"/>
              </w:rPr>
              <w:t xml:space="preserve">nepārsniegs</w:t>
            </w:r>
            <w:r w:rsidR="00000000" w:rsidRPr="00000000" w:rsidDel="00000000">
              <w:rPr>
                <w:rtl w:val="0"/>
              </w:rPr>
              <w:t xml:space="preserve"> direktīvā noteikto paraugu. Šāda precizējuma neesamība rada risku, ka nacionālajā līmenī tiks iekļauti papildu informācijas lauki vai prasības, kas pārsniegtu ES tiesību aktu minimālo līmeni un palielinātu administratīvo slogu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anotācijā iekļaut skaidru norādi, ka Ministru kabineta noteikumos par Eiropas remonta informācijas veidlapas formu un saturu netiks paredzētas papildu prasības, kas pārsniedz Direktīvas (ES) 2024/1799 Annex I noteikto. Tas nodrošinās konsekventu direktīvas ieviešanu, tiesisko noteiktību un izvairīsies no liekām birokrātiskām procedūrām uzņēmējdarbības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anotācijā ir pretrunīga informācija par finansējuma nodrošinājumu. Vienā vietā (7.4. punktā) norādīts, ka likumprojekta īstenošana tiks nodrošināta Ekonomikas ministrijas budžeta apakšprogrammas 26.01.00 “Iekšējais tirgus un patērētāju tiesību aizsardzība” ietvaros, savukārt citviet (3. punktā) teikts, ka nepieciešamības gadījumā jautājums par papildu finansējumu tiks skatīts Ministru kabinetā budžeta sagatavošanas procesā. Šāda redakcija rada neskaidrību par faktisko finansējuma nodrošinājumu. LDDK lūdz precizēt, ka likumprojekta īstenošana un PTAC papildu funkcijas tiks pilnībā nodrošinātas esošā finansējuma un amata vietu ietvaros neradot papildu slogu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20.10.2025.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20.10.2025.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Atzinumi_25-TA-1352.docx</dc:title>
</cp:coreProperties>
</file>

<file path=docProps/custom.xml><?xml version="1.0" encoding="utf-8"?>
<Properties xmlns="http://schemas.openxmlformats.org/officeDocument/2006/custom-properties" xmlns:vt="http://schemas.openxmlformats.org/officeDocument/2006/docPropsVTypes"/>
</file>