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4.sadaļas punktā 4.2.“Cita informācija” ir sniegta informācija, ka tiek  turpināts darbs pie Uzņēmumu reģistra darbības nodrošināšanai nepieciešamā finansējuma rašanas valsts budžeta ietvaros un finansējuma nepiesaistīšanas gadījumā var tikt apdraudēta Pārstāvības reģistra un Deklarēšanas sistēmas darbības nodrošināšana, savukārt anotācijas 3.sadaļas punktā “Cita informācija” ir norādīts, ka noteikumu projekta normu izpildei nepieciešamais finansējums tiks nodrošināts Tieslietu ministrijai piešķirtā valsts budžeta līdzekļu ietvaros. Līdz ar to nav saprotams, par kādu papildu nepieciešamo finansējumu ir domāts punktā 4.2. “Cita informācija”. Vēršam uzmanību, ka nav atbalstāma tādu normatīvo aktu virzība, kam nav nodrošināts finansējums, līdz ar to, ja noteikumu projekta īstenošanai ir nepieciešams papildu finansējums, tad tā virzība ir iespējama tikai pēc tam, kad tiks atrisināts jautājums par tā izpildei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punktā “Cita informācija” sniegto informāciju, norādot, ka nepieciešamais finansējums 487 013 euro apmērā Tieslietu ministrijai 2024. gadā ir pārdalīts no budžeta resora “74. Gadskārtējā valsts budžeta izpildes procesā pārdalāmais finansējums” programmas 01.00.00 “Apropriācijas rezerve”.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11.07.2024.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11.07.2024.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