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Pasākuma otrajai kārtai plānotais un pieejamais kopējais attiecināmais finansējums ir 15 800 186 </w:t>
            </w:r>
            <w:r w:rsidR="00000000" w:rsidRPr="00000000" w:rsidDel="00000000">
              <w:rPr>
                <w:i w:val="1"/>
                <w:rtl w:val="0"/>
              </w:rPr>
              <w:t xml:space="preserve">euro</w:t>
            </w:r>
            <w:r w:rsidR="00000000" w:rsidRPr="00000000" w:rsidDel="00000000">
              <w:rPr>
                <w:rtl w:val="0"/>
              </w:rPr>
              <w:t xml:space="preserve">, tai skaitā Eiropas Sociālā fonda Plus finansējums – 13 430 158 </w:t>
            </w:r>
            <w:r w:rsidR="00000000" w:rsidRPr="00000000" w:rsidDel="00000000">
              <w:rPr>
                <w:i w:val="1"/>
                <w:rtl w:val="0"/>
              </w:rPr>
              <w:t xml:space="preserve">euro</w:t>
            </w:r>
            <w:r w:rsidR="00000000" w:rsidRPr="00000000" w:rsidDel="00000000">
              <w:rPr>
                <w:rtl w:val="0"/>
              </w:rPr>
              <w:t xml:space="preserve"> un nacionālais līdzfinansējums– 2 370 028 </w:t>
            </w:r>
            <w:r w:rsidR="00000000" w:rsidRPr="00000000" w:rsidDel="00000000">
              <w:rPr>
                <w:i w:val="1"/>
                <w:rtl w:val="0"/>
              </w:rPr>
              <w:t xml:space="preserve">euro</w:t>
            </w:r>
            <w:r w:rsidR="00000000" w:rsidRPr="00000000" w:rsidDel="00000000">
              <w:rPr>
                <w:rtl w:val="0"/>
              </w:rPr>
              <w:t xml:space="preserve">, ko veido valsts un pašvaldību budžeta finansējums. Pašvaldību budžetu kā līdzfinansējuma avotu projektā plāno šo noteikumu 16.1. apakšpunktā minētie projektu iesniedzēji, savukārt valsts budžetu – šo noteikumu 16.2. apakšpunktā minētie projektu iesniedzēji.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8.punktu, norādot kopējo nacionālo līdzfinansējumu sadalījuma pa budžetiem, t.i. valsts budžeta līdzfinansējuma daļas apmēru un pašvaldību budžeta līdzfinansējuma daļas apmēru. Attiecīgi lūdzam precizēt arī anotācijas 3.sadaļas 6.punkta 1.rindkopā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otrās kārtas ietvaros projekta minimālā attiecināmo izmaksu kopsumma nav ierobežota.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13.punktu, ņemot vērā, ka noteikumu projekta 11.punktā ir noteikts minimālais projektā iesaistāmo mērķa grupas personu skaits, bet 20.punkā ir noteikts vienai personai paredzēto vienas vienības izmaksu apmērs par attiecīgā sabiedrībā balstītā sociālā pakalpojuma veida  nodrošināšanu konkrētā laika periodā (stundā/mēnesī).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Projekta maksimālo attiecināmo izmaksu kopsummu aprēķina, reizinot projektā iesaistāmo šo noteikumu 3. punktā minēto mērķa grupas personu skaitu ar indikatīvajām izmaksām vienai mērķa grupas personai, ievērojot šo noteikumu 20.1. un 20.2. apakšpunktā minētos izmaksu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14.punktā dzēst vārdu "maksimālo", tādējādi attiecinot nosacījumu uz kopējo projekta attiecināmo izmaksu apjoma aprēķinu, kā arī vārdus "indikatīvajām izmaksām" aizstāt ar vārdiem "vienas vienības izmaksām", ņemot vērā, ka noteikumu projekta 20.1. un 20.2. apakšpunktā minēti konkrēti izmaksu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attiecināmo izmaksu kopsummu aprēķina, reizinot projektā iesaistāmo šo noteikumu 3. punktā minēto mērķa grupas personu skaitu ar vienas vienības izmaksām vienai mērķa grupas personai, ievērojot šo noteikumu 20.1. un 20.2. apakšpunktā minētos izmaksu ierobežojumus.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Čāčus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pasākuma otrās kārtas ietvaros neplāno atbalstu tādām darbībām, kurām atbalsts atbilstoši Komercdarbības atbalsta kontroles likuma 5. pantā noteiktajam būtu kvalificējams kā komercdarbības atbalsts. Ja projekta īstenošanas laikā konstatē, ka ir sniegts atbalsts saimnieciskām darbībām, kurām sniegtais atbalsts būtu kvalificējams kā komercdarbības atbalsts, finansējuma saņēmējs atmaksā sadarbības iestādei nelikumīgo atbalstu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finansējuma saņēmējam saprotami visi nosacījumi un pienākumi, kas tam jāievēro, ja projekta īstenošanas laikā tiek konstatēts, ka ir sniegts atbalsts saimnieciskām darbībām, kurām sniegtais atbalsts būtu kvalificējams kā komercdarbības atbalsts, lūdzam precizēt noteikumu projekta 29.7. apakšpunktu, piemēram,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pasākuma otrās kārtas ietvaros neplāno atbalstu tādām darbībām, kurām atbalsts atbilstoši Komercdarbības atbalsta kontroles likuma 5. pantā noteiktajam būtu kvalificējams kā komercdarbības atbalsts. Ja projekta īstenošanas laikā konstatē, ka ir sniegts atbalsts saimnieciskām darbībām, kurām sniegtais atbalsts būtu kvalificējams kā komercdarbības atbalsts, finansējuma saņēmējs atmaksā sadarbības iestādei nelikumīgo komercdarbības atbalstu kopā ar procentiem no līdzekļiem, kas ir brīvi no komercdarbības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teikumu "4.3.5.1. pasākuma 2.kārtas ietvaros paredzētas tikai vienkāršotās attiecināmās izmaksas" redakcionāli precizēt, ņemot vērā, ka nepastāv šāda attiecināmo izmaksu kategorija.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pasākuma 2.kārtas ietvaros paredzētas tikai </w:t>
            </w:r>
            <w:r w:rsidR="00000000" w:rsidRPr="00000000" w:rsidDel="00000000">
              <w:rPr>
                <w:b w:val="1"/>
                <w:rtl w:val="0"/>
              </w:rPr>
              <w:t xml:space="preserve">vienkāršotās izmaksas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 regulā 2023/1676 noteiktās likmes var piemērot tikai tādā gadījumā, ja tiek izpildīti visi regulā atrunātie nosacījumi likmes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secināms, ka atkarībā no nepieciešamības pakalpojums var tikt sniegts arī mazāk par 8 stundām dienā (piemēram, 5 stundas dienā) un šādos gadījumos neizpildās EK regulā 2023/1676 noteiktie kritēriji dienas likmes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anotācijas sadaļu "Risinājuma apraksts", aprūpes mājās pakalpojumam papildus mēneša un dienas likmei paredzot piemērot arī stundas likmi 10,66 EUR/h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6.punktā aizstāt vārdus “nacionālā attiecināmā līdzfinansējuma” ar vārdiem “valsts budžeta līdzfinansējuma”. Skaidrojam, ka avansa un starpposma maksājumu kopsummu aprēķina no projektam piešķirtā finansējuma summas. T.i., ja projektā līdzfinansējums tiek nodrošināts no valsts budžeta, tad avansa un starpposma maksājumu kopsummu rēķina no projektam piešķirtā Eiropas Savienības fonda finansējuma un valsts budžeta līdzfinansējuma kopsummas. Savukārt, ja līdzfinansējums jānodrošina pašam finansējuma saņēmējam no pašvaldības budžeta, tad avansa un starpposma maksājumu kopsummu rēķina tikai no projektam piešķirtā Eiropas Savienības fonda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arī teikuma daļā</w:t>
            </w:r>
            <w:r w:rsidR="00000000" w:rsidRPr="00000000" w:rsidDel="00000000">
              <w:rPr>
                <w:i w:val="1"/>
                <w:rtl w:val="0"/>
              </w:rPr>
              <w:t xml:space="preserve"> "maksimālais avansa maksājumu apjoms ir 30% no projekta ESF+ un valsts budžeta </w:t>
            </w:r>
            <w:r w:rsidR="00000000" w:rsidRPr="00000000" w:rsidDel="00000000">
              <w:rPr>
                <w:i w:val="1"/>
                <w:u w:val="single"/>
                <w:rtl w:val="0"/>
              </w:rPr>
              <w:t xml:space="preserve">vai pašvaldību budžeta</w:t>
            </w:r>
            <w:r w:rsidR="00000000" w:rsidRPr="00000000" w:rsidDel="00000000">
              <w:rPr>
                <w:i w:val="1"/>
                <w:rtl w:val="0"/>
              </w:rPr>
              <w:t xml:space="preserve"> finansējuma</w:t>
            </w:r>
            <w:r w:rsidR="00000000" w:rsidRPr="00000000" w:rsidDel="00000000">
              <w:rPr>
                <w:rtl w:val="0"/>
              </w:rPr>
              <w:t xml:space="preserve">" svītrot vārdus “vai pašvaldību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05.08.2024.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24-TA-784</w:t>
    </w:r>
    <w:r>
      <w:br/>
    </w:r>
    <w:r w:rsidR="00000000" w:rsidRPr="00000000" w:rsidDel="00000000">
      <w:rPr>
        <w:rtl w:val="0"/>
      </w:rPr>
      <w:t xml:space="preserve">Izdrukāts 05.08.2024.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Atzinumi_24-TA-784.docx</dc:title>
</cp:coreProperties>
</file>

<file path=docProps/custom.xml><?xml version="1.0" encoding="utf-8"?>
<Properties xmlns="http://schemas.openxmlformats.org/officeDocument/2006/custom-properties" xmlns:vt="http://schemas.openxmlformats.org/officeDocument/2006/docPropsVTypes"/>
</file>