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24-TA-672: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1.2.2. specifiskā atbalsta mērķa “Izmantot digitalizācijas priekšrocības uzņēmējdarbības attīstībai” 1.2.2.1. pasākuma “Atbalsts procesu digitalizācijai komercdarbībā”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Ekonomikas ministrija plāno MK noteikumos ietvert nosacījumus – rādītājus, finansējumu, mērķi, atbalstāmās darbības, intervences kodus – saskaņā ar Ekonomikas ministrijas ierosinātajiem grozījumiem Eiropas Savienības kohēzijas politikas programmā 2021.–2027.gadam, tad lūdzam sniegt attiecīgu izvērstu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jāparedz risku, ka Eiropas Komisija var neatbalstīt Ekonomikas ministrijas ierosinātos grozījumus, tādējādi paredzot veikt attiecīgus grozījumus MK noteikumos, attiecīgi pievienojot MK noteikumiem MK protokollēmuma projektu, kas nosaka, ka gadījumā, ja Eiropas Komisija nesaskaņo ierosinātos grozījumus Eiropas Savienības kohēzijas politikas programmā 2021.–2027.gadam, Ekonomikas ministrija pārskata pasākuma nosacījumus un nepieciešamības gadījumā virza atbilstošus grozījumus MK noteikumos par pasākuma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attiecināmais finansējums ir 27 613 228 euro (tostarp elastības finansējums 4 355 304 euro), tai skaitā Eiropas Reģionālās attīstības fonda (turpmāk – ERAF) finansējums 23 471 243 euro (tostarp elastības finansējums 3 702 009 euro) un valsts budžeta līdzfinansējums 4 141 985 euro (tostarp elastības finansējums 653 295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izskatīt iespēju kā nacionālo līdzfinansējumu pasākuma īstenošanai noteikt arī privāto līdzfinansējumu.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20.1.</w:t>
            </w:r>
            <w:r w:rsidR="00000000" w:rsidRPr="00000000" w:rsidDel="00000000">
              <w:rPr>
                <w:rtl w:val="0"/>
              </w:rPr>
              <w:t xml:space="preserve"> un </w:t>
            </w:r>
            <w:r w:rsidR="00000000" w:rsidRPr="00000000" w:rsidDel="00000000">
              <w:rPr>
                <w:rtl w:val="0"/>
              </w:rPr>
              <w:t xml:space="preserve">20.2.</w:t>
            </w:r>
            <w:r w:rsidR="00000000" w:rsidRPr="00000000" w:rsidDel="00000000">
              <w:rPr>
                <w:rtl w:val="0"/>
              </w:rPr>
              <w:t xml:space="preserve"> apakšpunktā minēto darbību īstenošanai attiecināmas šādas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noteikumos noteikt tiešās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21.1.</w:t>
            </w:r>
            <w:r w:rsidR="00000000" w:rsidRPr="00000000" w:rsidDel="00000000">
              <w:rPr>
                <w:rtl w:val="0"/>
              </w:rPr>
              <w:t xml:space="preserve"> un  </w:t>
            </w:r>
            <w:r w:rsidR="00000000" w:rsidRPr="00000000" w:rsidDel="00000000">
              <w:rPr>
                <w:rtl w:val="0"/>
              </w:rPr>
              <w:t xml:space="preserve">21.2.</w:t>
            </w:r>
            <w:r w:rsidR="00000000" w:rsidRPr="00000000" w:rsidDel="00000000">
              <w:rPr>
                <w:rtl w:val="0"/>
              </w:rPr>
              <w:t xml:space="preserve"> apakšpunktā minētajām personāla izmaksām tiek piemērota vienotā likme 20 procentu apmērā no pārējām tiešajām attiecināmajām izmaksām, neieskaitot personāla izmaksas,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vadības un īstenošanas personāla izmaksu likmes apmēru un ietverto pamatojumu anotācijā saskaņot ar vadošo iestādi, nosūtot minēto informāciju uz sco@fm.gov.lv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Pasākuma ietvaros gala labuma guvējam ir attiecināmas šādas izmaksu pozīcijas: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noteikumos nosaukt darbības gala labuma guvēju atbalstam (precizēt 27.punkta sākuma daļu) un iekļaut 28.punktā atsauci uz atbilstošo MK noteikumu punktu par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gatavo risinājumu, aparatūras, sensoru, iekārtu, programmatūras un informācijas tehnoloģiju infrastruktūras iegādes, uzstādīšanas un pielāgošanas izmaksas un ar tām saistīto konsultāciju izmaksas un ar tām saistīto konsultāciju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MK noteikumu projektā paredzēts atbalstīt IT infrastruktūru, lūdzam EM izvērtēt, vai nav nepieciešams MK noteikumu projektā iekļaut punktu, kas nosaka gala labuma guvēja īpašumtiesības uz konkrēto objektu vai īpašumu, kurā plānots veikt ieguldījumus.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Īpašumtiesības: īpašumā, ilgtermiņa nomā, bezatlīdzības lietošanā, valdījumā, turējumā, kurām jābūt nostiprinātām Valsts vienotajā datorizētajā zemesgrāmatā, apbūves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minēt piemērus IT infrastruktūras atbalstam un ieguldījumu apmēram.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Neatbalstāmās darbības un izmaksas gala labuma guvējiem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nenorādīt MKN projektā neatbalstāmās izmaksas, t.i., svītrot no punkta sākuma daļas vārdu "izmaksas". Neattiecināmās izmaksas jāplāno no privātā līdzfinansējuma.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 darbības, kas jau ir pabeigtas brīdī, kad tiek noslēgts Latvijas Investīciju un attīstības aģentūras līgums ar gala labuma guvēju un Latvijas Investīciju un attīstības aģentūras vienošanās ar sadarbības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līgums starp Latvijas Investīciju un attīstības aģentūru un gala labuma guvēju tiek slēgts pēc tam, kad starp Latvijas Investīciju un attīstības aģentūru un sadarbības iestādi jau ir noslēgta vienošanās par projekta īstenošanu, lūdzam svītrot noteikumu projekta 32.8. apakšpunktā vārdus "un Latvijas Investīciju un attīstības aģentūras vienošanās ar sadarbības iestādi", lai nodrošinātu viennozīmīgu normas interpretāciju.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 darbības, kas jau ir pabeigtas brīdī, kad tiek noslēgts Latvijas Investīciju un attīstības aģentūras līgums ar gala labuma guvēju.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un finansējuma saņemšanas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noteikumu projekta izriet, ka finansējuma saņēmējam projekta īstenošanā deleģēts uzdevums sniegt atbalstu gala labuma guvējam, lūdzam noteikumu projektā paredzēt atbalsta piešķiršanas strīdu risināšanas kārtību starp finansējuma saņēmēju (atbalsta sniedzēju) un gala labuma guvēju.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Šajos noteikumos minētās izmaksas finansējuma saņēmējam ir attiecināmas no šo noteikumu spēkā stāšanās brīža. Šajos noteikumos minētās izmaksas gala labuma guvējiem ir attiecināmas no dienas, kad Finansējuma saņēmējs pieņēmis lēmumu par atbalsta piešķiršanu gala labuma guvējam.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saskaņot MK noteikumu 34. un 37.punktā noteiktos nosacījumus gala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40.11.5. katrā no Viedās specializācijas stratēģijas (turpmāk - RIS3) jomām sadalījumā pa gala labuma guvēju veidiem šādus RIS3 rādītājus: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atkārtoti izvērtēt, vai pasākuma ietvaros ir plānoti ieguldījumi, kas paredz P&amp;A izmaksas komersantiem, pamatojoties uz ko atbilstoši pasākuma specifikai būtu nepieciešams noteikt RIS3 rādītājus. Vēršam uzmanību, ka, piemēram, MKN norādītās plānotās izmaksas, kas saistītas ar gatavo risinājumu, aparatūras, sensoru, iekārtu, programmatūras un informācijas tehnoloģiju infrastruktūras iegādes, uzstādīšanas un pielāgošanu (28.1.apakšpunkts) nav attiecināmas uz P&amp;A izmaksām. Vienlaicīgi gatavi iegādāti IT risinājumi un pakalpojumi nav uzskatāmi par jauniem produktiem.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atbilstoši pasākuma specifikai ir pārskatāms RIS3 rādītāju loks. Vēršam uzmanību, ka fundamentālie pētījumi (40.11.5.15.) neatbilst ne pasākuma specifikai, ne tā mērķim. Gadījumā, ja MKN projektā RIS3 rādītāji iekļauti netiek, tad aicinām EM anotācijā īsi paskaidrot to neiekļaušanas iemeslu, piemēram, norādot, kāpēc nav lietderīgi tajos noteikt un uzkrāt RIS3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44.9. Eiropas Parlamenta un Padomes 2021. gada 24. jūnija Regulas (ES) Nr. 2021/1058 par Eiropas Reģionālās attīstības fondu un Kohēzijas fondu 7. panta 1. punktā noteiktajās nozarēs un darbībās: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minētajā regulas punktā noteiktas arī citas neatbalstāmās nozares/darbības.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Atbildīgā iestāde izstrādā digitālās intensitātes padziļināta novērtējuma metodiku.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MK noteikumos galvenos nosacījumus, kas tiks iekļauti 49.punktā minētajā metodikā un kas jāsasniedz, lai gala saņēmējs varētu saņemt atbalstu, piemēram, uzlabots atkārtots novērtējums (digitālā brieduma tests).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komercdarbības atbalsts tiek piešķirts saskaņā ar Komisijas regulu Nr. 2023/2831, maksimālā atbalsta intensitāte gala labuma guvējam no projekta kopējām izmaksām nevar pārsniegt 50%.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MK noteikumu projektā paredzēt atbalsta likmes diferencēšanu atbilstoši komersanta lielumam (mazais, vidējais komersants, mazā vidējā kapitalizācijas sabiedrība, vidējas kapitalizācijas sabiedrība). Ja netiek paredzēta komercdarbības atbalsta likmes diferencēšana, tad noteikumu projekta sākotnējā novērtējuma ziņojumā jāietver paskaidrojums par šādu nosacījumu nepiemērošanu.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komercdarbības atbalsts tiek piešķirts saskaņā ar Komisijas regulu Nr. 2023/2831, maksimālā atbalsta intensitāte gala labuma guvējam no projekta kopējām izmaksām nevar pārsniegt 50%.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šīs atbalsta programmas ietvaros visiem gala labuma guvējiem atbalsts tiek piešķirts saskaņā ar Komisijas regulu Nr. 2023/2831, lūdzam precizēt noteikumu projekta 54.punkta redakciju, to izsakot šādā redakcijā: "Maksimālā atbalsta intensitāte gala labuma guvējam no projekta kopējām izmaksām nevar pārsniegt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Kellere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Finansējuma saņēmējs pirms de minimis atbalsta piešķiršanas gala labuma guvējam pārbauda, vai plānotais de minimis atbalsts kopā ar iepriekšējos trijos gados no atbalsta piešķiršanas dienas saņemto de minimis atbalstu viena vienota uzņēmuma līmenī nepārsniedz Komisijas regulas Nr. 2023/2831 3. panta 2. punktā noteikto maksimālo de minimis atbalsta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Komisijas 2023.gada 13.decembra regulas Nr.2023/2831 par Līguma par Eiropas Savienības darbību 107. un 108.panta piemērošanu de minimis atbalstam, 3.panta 2.punktā noteiktajam, atbalsta sniedzējam ir pienākums pārbaudīt piešķirtā, nevis faktiski saņemtā atbalsta apjomu. Lai nodrošinātu atbilstību Komisijas regulas Nr.2023/2831 3.panta 2.punktam, aicinām noteikumu projekta 57.punktā aizstāt vārdu “saņemto” ar vārdu “piešķirto”.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Komersants, ievērojot Komisijas regulas Nr. 2023/2831 5. panta 1. un 3. punktu, de minimis atbalstu drīkst kumulēt ar citu de minimis atbalstu līdz Komisijas regulas Nr. 2023/2831 3. panta 2. punktā noteiktajam attiecīgajam robežlielumam, kā arī drīkst kumulēt ar citu valsts atbalstu attiecībā uz vienām un tām pašām attiecināmajām izmaksām vai citu valsts atbalstu tam pašam riska finansējuma pasākumam, ja šīs kumulācijas rezultātā netiek pārsniegta attiecīgā maksimālā atbalsta intensitāte vai atbalsta summa, kāda noteikta valsts atbalsta programmā vai Eiropas Komisijas lēmumā. Šo noteikumu ietvaros saņemto de minimis atbalstu var apvienot ar citu de minimis atbalstu par vienām un tām pašām attiecināmajām izmaksām, ja pēc atbalstu apvienošanas atbalsta vienībai vai izmaksu pozīcijai attiecīgā maksimālā atbalsta intensitāte nepārsniedz 100 %.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Komisijas regulas Nr.2023/2831 5.pantam, lūdzam precizēt de minimis atbalsta kumulācijas normu, izsakot to piedāvātajā redakcijā. Vienlaikus lūdzam pārskatīt piedāvāto redakciju, vai tā pēc būtības atbilst programmas specifikai, t.sk., attiecībā uz programmā lietoto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ietvaros piešķirto de minimis atbalstu drīkst kumulēt ar citu de minimis atbalstu, tai skaitā attiecībā uz vienām un tām pašām attiecināmajām izmaksām, līdz Komisijas regulas Nr.2023/2831 3.panta 2.punktā noteiktajam attiecīgajam robežlielumam, kā arī drīkst kumulēt ar citu komercdarbības atbalstu, tai skaitā attiecībā uz vienām un tām pašām attiecināmajām izmaksām, vai citu valsts atbalstu tam pašam riska finansējuma pasākumam, ja netiek pārsniegta attiecīgā maksimālā atbalsta intensitāte vai atbalsta summa, kāda noteikta komercdarbības atbalsta programmā, ad-hoc lēmumā vai Eiropas Komisijas lēmumā. De minimis atbalstu ar citu de minimis atbalstu par vienām un tām pašām izmaksām var apvienot, ja pēc atbalstu apvienošanas atbalsta vienībai vai izmaksu pozīcijai attiecīgā maksimālā atbalsta intensitāte nepārsniedz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Finansējuma saņēmējs un gala labuma guvējs nodrošina informācijas pieejamību 10 gadus, skaitot no atbalsta piešķiršanas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saņēmējs uzglabā visus ar de minimis atbalsta piešķiršanu saistītos datus 10 (desmit) gadus, sākot no dienas, kurā saskaņā ar šajos noteikumos noteikto piešķirts pēdējais de minimis atbalsts, savukārt, gala labuma guvējs uzglabā visus ar de minimis atbalsta piešķiršanu saistītos datus 10 (desmit) gadus no de minimis atbalsta piešķiršanas dienas, lūdzam attiecīgi precizēt noteikumu projektā iekļauto 61.punktu.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Ja tiek pārkāptas komercdarbības atbalsta kontroles normas, kas izriet no Komisijas regulas Nr. 2023/2831, gala labuma guvējam ir pienākums atmaksāt atbalsta sniedzējam visu projekta ietvaros saņemto nelikumīgo de minimis atbalstu kopā ar procentiem no līdzekļiem, kas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nelikumīgs komercdarbības atbalsts ir tikai tāds, kas sniegts pārkāpjot attiecīgo regulu nosacījumus, lūdzam precizēt noteikumu 63. punktu,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Ja tiek pārkāpti Komisijas regulas Nr. 2023/2831 nosacījumi, gala labuma guvējam ir pienākums atmaksāt atbalsta sniedzējam projekta ietvaros saņemto nelikumīgo de minimis atbalstu kopā ar procentiem no līdzekļiem, kas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finansējuma saņēmējs ir valsts budžeta iestāde un MK noteikumu projektā noteikts, ka projekta izmaksas ir attiecināms pirms līguma vai vienošanās noslēgšanas, t.i., izmaksas paredzētas attiecināt no MK noteikumu spēkā stāšanās dienas, anotācijā jāsniedz pamatojums, kas nosaka finanšu plūsmas pirms projekta apstiprināšanas nodrošināšanas nosacījumus, kā arī atbildīgās iestādes pienākumus un atbildību gadījumos, ja pirms projekta apstiprināšanas radušās izmaksas, kas nav attiecināmas no ES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MK noteikumu projektam jāpievieno MK sēdes protokollēmuma projekts, kas nosaka finanšu plūsmas pirms projekta apstiprināšanas nodrošināšanas nosacījumus, kā arī pienākumu un atbildību atbildīgajai iestādei gadījumos, ja pirms projekta apstiprināšanas radušās izmaksas nav attiecināmas no ES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Ministru kabineta 2023. gada 13. jūlija noteikumu Nr. 408 "Kārtība, kādā Eiropas Savienības fondu vadībā iesaistītās institūcijas nodrošina šo fondu ieviešanu 2021.–2027. gada plānošanas periodā" 3. pielikumam, lūdzam precizēt anotācijas 1.3. sadaļas "Pašreizējā situācija, problēmas un risinājumi" apakšsadaļas "Risinājuma apraksts" 8. punktā norādīto tabulu, papildinot to ar informāciju, ka, veicot pārbaudi par attiecīgās personas sodāmību Iekšlietu ministrijas Informācijas centra pārziņā esošajā valsts informācijas sistēmā “Sodu reģistrs” saskaņā ar zemāk norādītajām normām, tiks pārbaudītas arī šādas tiesību akta normas - "177.</w:t>
            </w:r>
            <w:r w:rsidR="00000000" w:rsidRPr="00000000" w:rsidDel="00000000">
              <w:rPr>
                <w:vertAlign w:val="superscript"/>
                <w:rtl w:val="0"/>
              </w:rPr>
              <w:t xml:space="preserve">1</w:t>
            </w:r>
            <w:r w:rsidR="00000000" w:rsidRPr="00000000" w:rsidDel="00000000">
              <w:rPr>
                <w:rtl w:val="0"/>
              </w:rPr>
              <w:t xml:space="preserve"> pants. Krāpšana automatizētā datu apstrādes sistēmā, 178. pants. Apdrošināšanas krāpšana, 190.</w:t>
            </w:r>
            <w:r w:rsidR="00000000" w:rsidRPr="00000000" w:rsidDel="00000000">
              <w:rPr>
                <w:vertAlign w:val="superscript"/>
                <w:rtl w:val="0"/>
              </w:rPr>
              <w:t xml:space="preserve">1</w:t>
            </w:r>
            <w:r w:rsidR="00000000" w:rsidRPr="00000000" w:rsidDel="00000000">
              <w:rPr>
                <w:rtl w:val="0"/>
              </w:rPr>
              <w:t xml:space="preserve"> pants. Preču un vielu, kuru aprite ir aizliegta vai speciāli reglamentēta, pārvietošana pāri Latvijas Republikas valsts robežai."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vienlaikus ir norādīts, projekta iesniedzējs veic izmaksu un ieguvumu analīzi atbilstoši sadarbības iestādes metodiskajiem materiāliem un pievieno gan kā stratēģijas pielikumu, gan kā projekta iesnieguma pielikumu (tai skaitā noteikumu projekta 18.punktā). Lūdzam precizēt vai papildināt ar skaidrojumu,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sadaļā "Vai ir izvērtēts prasību un izmaksu samērīgums pret ieguvumiem?" lūdzam norādīt "Nē", jo "Jā" norāda, ja tas ir izdarīts anotācijas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Ritvars Timermanis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8.2.sadaļā norādītā informācija neatbilst LM izstrādāto Vadlīniju horizontālā principa “Vienlīdzība, iekļaušana, nediskriminācija un pamattiesību ievērošana” īstenošanai un uzraudzībai (2021-2027)” 1.pielikumam, kur norādīta netieša ietekme, kas nozīmē arī HP rādītāja piemērošanu pasākuma ietvaros un attiecīgas informācijas uzkrāšanas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gadījumā izmaiņas pret vadlīnijām saistītas ar pasākuma koncepta maiņu, lūdzam tās atsevišķi saskaņot ar Labklājības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izmaksu piemērošanas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1.7. apakšpunktu pirms vārda "izmaksu" ar vārdu "vienkāršoto", lai nodrošinātu atbilstību Eiropas Savienības fondu 2021.—2027. gada plānošanas perioda vadības likuma 19. panta 6. punktā ietvertajam deleģējumam.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vienkāršoto izmaksu piemērošanas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20.1.</w:t>
            </w:r>
            <w:r w:rsidR="00000000" w:rsidRPr="00000000" w:rsidDel="00000000">
              <w:rPr>
                <w:rtl w:val="0"/>
              </w:rPr>
              <w:t xml:space="preserve"> un </w:t>
            </w:r>
            <w:r w:rsidR="00000000" w:rsidRPr="00000000" w:rsidDel="00000000">
              <w:rPr>
                <w:rtl w:val="0"/>
              </w:rPr>
              <w:t xml:space="preserve">20.2.</w:t>
            </w:r>
            <w:r w:rsidR="00000000" w:rsidRPr="00000000" w:rsidDel="00000000">
              <w:rPr>
                <w:rtl w:val="0"/>
              </w:rPr>
              <w:t xml:space="preserve"> apakšpunktā minēto darbību īstenošanai attiecināmas šādas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21.3.apakšpunktā ir paredzētas izmaksas, kas attiecināmas uz noteikumu projekta 20.3.apakšpunktā definēto atbalstāmo darbību, lūdzam noteikumu projekta 21.punktu papildināt ar atsauci uz 20.3.apakšpunktu vai precizēt skaidrojumu 20.3.apakšpunktā.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Laugale-Volbaka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projekta vadības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21.1. un  21.2.apakšpunktā minētajām personāla izmaksām tiek piemērota vienotā likme 20 procentu apmērā no pārējām tiešajām attiecināmajām izmaksām, neieskaitot personāla izmaksas, aicinām neizdalīt personāla izmaksas projekta vadības personālam un projekta īstenošanas personālam, bet paredzēt vienu izmaksu pozīciju jeb noteikumu projekta apakšpunktu "Projekta vadības un īstenošanas personāla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Laugale-Volbaka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nepieciešamo ārpakalpojumu (piemēram, juridiskie pakalpojumi, mārketinga materiālu izgatavošana, mārketinga aktivitātes un citi ārpakalpojumi) izmaksas un piegāžu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attiecināmo izmaksu definējumu, lūdzam noteikumu projektā vai tā anotācijā skaidrot, kādas piegāžu izmaksas ir attiecināmas.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Laugale-Volbaka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Pasākuma ietvaros ir attiecināmas netiešās projekta īstenošanas izmaksas šo noteikumu </w:t>
            </w:r>
            <w:r w:rsidR="00000000" w:rsidRPr="00000000" w:rsidDel="00000000">
              <w:rPr>
                <w:rtl w:val="0"/>
              </w:rPr>
              <w:t xml:space="preserve">20.1.</w:t>
            </w:r>
            <w:r w:rsidR="00000000" w:rsidRPr="00000000" w:rsidDel="00000000">
              <w:rPr>
                <w:rtl w:val="0"/>
              </w:rPr>
              <w:t xml:space="preserve"> un </w:t>
            </w:r>
            <w:r w:rsidR="00000000" w:rsidRPr="00000000" w:rsidDel="00000000">
              <w:rPr>
                <w:rtl w:val="0"/>
              </w:rPr>
              <w:t xml:space="preserve">20.2.</w:t>
            </w:r>
            <w:r w:rsidR="00000000" w:rsidRPr="00000000" w:rsidDel="00000000">
              <w:rPr>
                <w:rtl w:val="0"/>
              </w:rPr>
              <w:t xml:space="preserve"> apakšpunktā minēto darbību veikšanai. Netiešās attiecināmās izmaksas finansējuma saņēmējs plāno kā vienu izmaksu pozīciju, piemērojot netiešo izmaksu vienoto likmi 15 procentu apmērā no šo noteikumu </w:t>
            </w:r>
            <w:r w:rsidR="00000000" w:rsidRPr="00000000" w:rsidDel="00000000">
              <w:rPr>
                <w:rtl w:val="0"/>
              </w:rPr>
              <w:t xml:space="preserve">21.1.</w:t>
            </w:r>
            <w:r w:rsidR="00000000" w:rsidRPr="00000000" w:rsidDel="00000000">
              <w:rPr>
                <w:rtl w:val="0"/>
              </w:rPr>
              <w:t xml:space="preserve"> un </w:t>
            </w:r>
            <w:r w:rsidR="00000000" w:rsidRPr="00000000" w:rsidDel="00000000">
              <w:rPr>
                <w:rtl w:val="0"/>
              </w:rPr>
              <w:t xml:space="preserve">21.2.</w:t>
            </w:r>
            <w:r w:rsidR="00000000" w:rsidRPr="00000000" w:rsidDel="00000000">
              <w:rPr>
                <w:rtl w:val="0"/>
              </w:rPr>
              <w:t xml:space="preserve"> apakšpunktā norādītājām tiešajām attiecināmajām personāla izmaksām saskaņā ar regulas Nr. 2021/1060 54. panta b)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ka netiešās attiecināmās izmaksas ir attiecināmas arī noteikumu projekta 20.3.apakšpunktā noteikto atbalstāmo darbību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Laugale-Volbaka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projekta īstenošanas laikā rodas izmaksas, kas neatbilst šiem noteikumiem vai pārsniedz pieejamo attiecināmo finansējumu, gala labuma guvējs apņemas tās segt no paša rīcībā esošajiem līdzekļiem, kas nav saistīti ar publisku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normu, ka arī finansējuma saņēmējs uzņemas segt sadārdzinājumu.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Finansējuma saņēmējs projekta īstenošanu plāno saskaņā ar vienošanos par projekta īstenošanu, kas noslēgta starp finansējuma saņēmēju un sadarbības iestādi – Centrālo finanšu un līgumu aģentūru, bet ne ilgāk kā līdz 2029.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36.punktā vārdus "Centrālo finanšu un līgumu aģentūru", jo sadarbības iestāde ir noteikta Eiropas Savienības fondu 2021.—2027. gada plānošanas perioda vadības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Finansējuma saņēmējs projekta īstenošanu plāno saskaņā ar vienošanos par projekta īstenošanu, kas noslēgta starp finansējuma saņēmēju un sadarbības iestādi, bet ne ilgāk kā līdz 2029.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Šajos noteikumos minētās izmaksas finansējuma saņēmējam ir attiecināmas no šo noteikumu spēkā stāšanās brīža. Šajos noteikumos minētās izmaksas gala labuma guvējiem ir attiecināmas no dienas, kad Finansējuma saņēmējs pieņēmis lēmumu par atbalsta piešķiršanu gala labuma guvējam.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34.punktā noteikts, ka gala labuma guvējs atbalstāmās darbības var uzsākt pēc atbalsta pieteikuma iesniegšanas Latvijas Investīciju un attīstības aģentūrā, lai nodrošinātu skaidru normatīvā regulējuma piemērošanu un veicinātu izpratni gala saņēmēju līmenī, lūdzam anotācijā skaidrot, kā tiek nodrošināta atbilstība noteikumu projekta 34. un 37.punktam, t.i., darbības var uzsākt pēc atbalsta pieteikuma iesniegšanas, bet izmaksas ir attiecināmas tikai no lēmuma par atbalsta piešķiršanu pieņemšanas.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Laugale-Volbaka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Publiskos iepirkumus finansējuma saņēmējs veic saskaņā ar normatīvajiem aktiem publisko iepirkumu jomā, īstenojot atklātu, pārredzamu, nediskriminējošu un konkurenci nodrošinošu procedūru. Projekta ietvaros ir atbalstāma vides prasību un inovatīva risinājuma integrēšana preču un pakalpojuma iepirkumos.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izskatīt iespēju MK noteikumos noteikt arī sociāli atbildīga iepirkuma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40.10.7. mehānismu dubultā finansējuma novēršanai ar citiem finansēšanas avotiem, tai skaitā ar Eiropas Savienības kohēzijas politikas programmu 2021.–2027. gadam, Eiropas Savienības struktūrfondu un Kohēzijas fonda 2014.–2020. gada plānošanas perioda darbības programmu "Izaugsme un nodarbinātība" un citiem ārvalstu finanšu instrumentiem;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40.10.7.apakšpunktu, ka finansējuma saņēmējs nodrošina ne tikai nepārklāšanās principu ar citiem valsts un ārvalstu finanšu atbalsta instrumentiem, bet nodrošina arī dubultā finansējuma neiestāšanos projekta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dubultā finansējuma neiestāšanās nodrošināma ne tikai attiecībā uz citiem finanšu atbalsta instrumentiem, bet arī konkrētā projekta īstenošanai piešķirtā finansējuma ietvaros darbības nedrīkst tikt finansētas dubultā.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Gala labuma guvēju pieteikumu izvērtēšanas procesā iesaistītie finansējuma saņēmēja darbinieki paraksta objektivitātes, konfidencialitātes un interešu konflikta neesamības apliecinājumu, ka interešu konflikta situācijā nepiedalīsies gala labuma guvēju pieteikumu izvērtēšanā. Apliecinājumu paraksta pirms gala labuma guvēju pieteikumu izskatīšanas un vērtēšanas. Finansējuma saņēmējs apliecinājumu glabā atbilstoši Regulas Nr. 2018/1046 132. pantam un šo noteikumu </w:t>
            </w:r>
            <w:r w:rsidR="00000000" w:rsidRPr="00000000" w:rsidDel="00000000">
              <w:rPr>
                <w:rtl w:val="0"/>
              </w:rPr>
              <w:t xml:space="preserve">61.</w:t>
            </w:r>
            <w:r w:rsidR="00000000" w:rsidRPr="00000000" w:rsidDel="00000000">
              <w:rPr>
                <w:rtl w:val="0"/>
              </w:rPr>
              <w:t xml:space="preserve">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noteikumu projekta 41.punktu, ņemot vērā, ka minētā norma tiek noteikta 40.9.apakšpunktā.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44.9.1. darbībām, kas saistītas ar fosilo kurināmo, tostarp tā pakārtotu izmantošanu, izņemot projektus elektroenerģijas vai siltuma ražošanai, kā arī ar saistīto pārvades un sadales infrastruktūru, izmantojot dabasgāzi, atbilstoši Eiropas Komisijas paziņojuma "Tehniskie norādījumi par principa "nenodarīt būtisku kaitējumu" piemērošanu saskaņā ar Atveseļošanas un noturības mehānisma regulu" (Eiropas Savienības Oficiālais Vēstnesis, 2021. gada 18. februāris, Nr. C 58/1) III pielikuma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pārlikt atsauci uz Eiropas Komisijas paziņojumu "Tehniskie norādījumi par principa "nenodarīt būtisku kaitējumu" piemērošanu saskaņā ar Atveseļošanas un noturības mehānisma regulu" uz anotāciju, jo šie ir ERAF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Pasākuma atbalstāmo darbību ietvaros ir attiecināms pievienotās vērtības nodoklis tiešajām attiecināmajām izmaksām atbilstoši regulas Nr. 2021/1060 64. panta 1. punkta c) apakšpunkta nosacījumiem, ja tas nav atgūstams atbilstoši normatīvajiem aktiem nodokļu politikas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definēt pievienotā vērtības nodokļa attiecināmības nosacījumus finansējuma saņēmējam un gala labuma guvējam, ņemto vērā noteikumu projekta 31., 55. un 56.puktā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Laugale-Volbaka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Finansējuma saņēmējs lēmumu par de minimis atbalsta piešķiršanu saskaņā ar Komisijas regulas Nr. 2023/2831 7. panta 3. punktu un 8.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jo nav saprotama teikuma konstrukcija.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Krilova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anotācijā arī informāciju par sinerģiju un papildinātību ar citiem atbalsta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anotācijas 1.3.sadaļā iekļaut vairāk skaitliskas plānošanas dokumentos noteikto rādītāju sasniedzamās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iekļaut informāciju par pasākuma ieguldījumu ES Padomes rekomendācijas Latvijai 2023.gadam par digitālo pārveidi (1.rekomendācijas daļa) izpildē.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ar vienkāršoto izmaksu metodiku, kas saistīta ar finanšu atbalsta sniegšanu gala labuma guvējiem procesu digitalizācijas komercdarbībā, tiks nosegtas visas plānotās gala labuma guvēja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ka vienkāršoto izmaksu metodika, kas saistīta ar finanšu atbalsta sniegšanu gala labuma guvējiem procesu digitalizācijas komercdarbībā izmaksām tiks saskaņota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definēt atbildīgās iestādes izstrādātās vienkāršo izmaksu metodikas izstrādes un saskaņošanas termiņu, nodrošinot informācijas saskaņotību visā tiesību akta projektā, ņemot vērā, ka anotācijas 9.punkta "Vienkāršoto izmaksu metodikas" pirmajā rindkopā norādīts, ka  Ekonomikas ministrija kā atbildīgā iestāde vienkāršoto izmaksu metodiku izstrādās un saskaņos līdz projekta iesniegšanai Sadarbības iestādē, taču pēdēja rindkopā norādīts, ka 1.2.2.1. pasākumā paredzēto atbildīgās iestādes izstrādāto vienkāršoto izmaksu metodiku plānots izstrādāt līdz izsludinātajai projekta atlasei.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Laugale-Volbaka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3.sadaļas 6.punktā norādīta pieejamā finansējuma nevis kopējā finansējuma summas sadalījums pa gadiem kā norādīts 2.rindkopas sākumā.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informāciju par biedrību, nodibinājumu, nevalstisko organizāciju iesaisti MK noteikumu projekta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24-TA-672</w:t>
    </w:r>
    <w:r>
      <w:br/>
    </w:r>
    <w:r w:rsidR="00000000" w:rsidRPr="00000000" w:rsidDel="00000000">
      <w:rPr>
        <w:rtl w:val="0"/>
      </w:rPr>
      <w:t xml:space="preserve">Izdrukāts 17.05.2024. 16.41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24-TA-672</w:t>
    </w:r>
    <w:r>
      <w:br/>
    </w:r>
    <w:r w:rsidR="00000000" w:rsidRPr="00000000" w:rsidDel="00000000">
      <w:rPr>
        <w:rtl w:val="0"/>
      </w:rPr>
      <w:t xml:space="preserve">Izdrukāts 17.05.2024. 16.41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Atzinumi_24-TA-672.docx</dc:title>
</cp:coreProperties>
</file>

<file path=docProps/custom.xml><?xml version="1.0" encoding="utf-8"?>
<Properties xmlns="http://schemas.openxmlformats.org/officeDocument/2006/custom-properties" xmlns:vt="http://schemas.openxmlformats.org/officeDocument/2006/docPropsVTypes"/>
</file>