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termiņu, cik ilgi amatpersonām aprēķinātais atalgojums ir publiskots iestādes tīmekļvietnē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tiks novērsta personas  datu  ļaunprātīga izmantošana, jo šāda informācijas publiskošana padara attiecīgās personas zināmā mērā neaizsargātas pret potenciāliem noziedzīgiem aizskārumiem.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izmantojot no VID deklarācijās par amatpersonām iegūto informāciju un Lursoft, pieejama detalizēta, jebkāda interesējošā informācija. Iespējams izsekot amatpersonu un radīt jebkādus tiešus draudus ģimenei un jo īpaši bērniem. Personas datu nepamatota publiskošana kopā ar izmaksāto atalgojumu var būt īpaši saistoša arī trešo valstu specdienestiem attiecībā par personām, kuras ieņem amatu konkrētā iestādē, ir NBS rezerves karavīru uzskaitē un ir viegli sazīmējamas reta uzvārda, vārda vai to kombinācijā.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riskam tiks pakļautas tās ģimenes, kurās abu pieaugušo atalgojums tiks publicēts.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visām iestādēm nodrošinātu vienotu pieeju un viennozīmīgu Valsts pārvaldes iekārtas likuma 92. panta otrās daļas  interpretāciju, lūdzam papildināt anotāciju ar vadlīnijām konkrētu personu tvēruma noteikšanai, par kuriem aprēķinātais atalgojums ir publiskojams iestādes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ka iestādes pirmoreiz publisko informāciju par 2025.gada februārī amatpersonām aprēķināto atalgojumu.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Gulbe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jo saskaņā ar Latvijas Republikas Satversmes Tiesas 2019. gada 6. marta spriedumā lietā Nr. 2018-11-01 noteikto, ir saskatāms risks Satversmes 96. pantā noteikto cilvēka pamattiesību uz privātās dzīves, mājokļa un korespondences neaizskaramību aizskārumam.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atbilstoši plānotajām darbībām ar konkrētu kategoriju personu tvērumu un to personu datiem.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punktu, jo ir saskatāms risks to personu bērniem, kuru vecāki saņem VSAA ikmēneša maksājumu, kas redzams VID publicētajās amatpersonu deklarācijās sadaļā par saņemtajiem ienākumiem, kas nav no darba vietas, bet redzams kā VSAA maksājums. Attiecīgi, personas darba vietas oficiālajā tīmekļa vietnē publicējot informāciju, kā skaidrots projekta anotācijā, ietverot visas piemaksu kategorijas, izņemot invaliditātes vai citas izmaksu kategorijas, tās personas, kuras ir vecāki bērniem būs viegli atšifrējamas un bērni tiks pakļauti īpašam riskam, jo bez algas apjoma ir publiski pieejamas arī norādes par īpašumiem (īpaši, ja tas ir vienīgais un atšifrē dzīvesvietu), kas ļauj noteikt precīzu bērnu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kopsakarā ar Satversmes 110. pantā un Bērnu tiesību aizsardzības likuma 6. panta pirmajā daļā noteikto, rosinām atbilstoši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04.02.2025.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04.02.2025.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Atzinumi_25-TA-194.docx</dc:title>
</cp:coreProperties>
</file>

<file path=docProps/custom.xml><?xml version="1.0" encoding="utf-8"?>
<Properties xmlns="http://schemas.openxmlformats.org/officeDocument/2006/custom-properties" xmlns:vt="http://schemas.openxmlformats.org/officeDocument/2006/docPropsVTypes"/>
</file>