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anotācijas 1.2. apakšsadaļu, ņemot vērā, ka tajā skaidro projekta mērķi, un ievērojot, ka mērķis nedrīkst attaisnot jau iepriekš nolemtu rīcību, tam ir jābūt neitrālam un vērstam uz problēmu izraisošo cēloņu mazināšanu vai likvidēšanu. Mērķis nevar būt vienkārši tiesību akta izstrāde vai grozījumi tajā. Proti, tas jādefinē tādā formā, lai varētu novērtēt tā sasniegšanas progresu (no anotācijas 1.3. apakšsadaļas noprotams, ka projekta mērķis ir saistīts ar Eiropas Savienības Atveseļošanas un noturības mehānisma plāna 1.2. reformu un investīciju virziena "Energoefektivitātes uzlabošana" 1.2.1.4.i. investīcijas "Energoefektivitātes uzlabošana valsts sektora ēkās, t. sk. vēsturiskajās ēkās" plānoto mērķa rādītāju sasniegšanu un pieejamā Atveseļošanas fonda un valsts budžeta finansējuma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1.3. apakšsadaļas skaidrojumu par to, ka "[..] </w:t>
            </w:r>
            <w:r w:rsidR="00000000" w:rsidRPr="00000000" w:rsidDel="00000000">
              <w:rPr>
                <w:i w:val="1"/>
                <w:rtl w:val="0"/>
              </w:rPr>
              <w:t xml:space="preserve">VNĪ kopējais piešķirtais finansējuma apmērs paliek nemainīts [..], tomēr tā sadalījums proporcionāli tiek mainīts starp ēkām, ņemot vērā, ka ir pieaudzis ēku skaits (iepriekš 5 ēku adreses, šobrīd 6 ēku adreses).</w:t>
            </w:r>
            <w:r w:rsidR="00000000" w:rsidRPr="00000000" w:rsidDel="00000000">
              <w:rPr>
                <w:rtl w:val="0"/>
              </w:rPr>
              <w:t xml:space="preserve">" papildināt ar to, kāda ietekme ir konstatējama uz ēkām to attiecināmā finansējuma izmaiņu rezultātā. Proti, lūdzam pilnībā izvērtēt plānoto grozījumu iespējamo praktisko ietekmi un nodrošināt tiesību normu adresātiem pilnīgu no noteikumu projekta izrietošo aspektu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2. projekta iesniedzēja īpašumā esošajā infrastruktūrā, par kuru iesniegts projekta iesniegums un kura tiek izmantota tādu funkciju vai valsts deleģēto uzdevumu nodrošināšanai, kas nav saistīti ar saimniecisko darbību, pamatlīdzekļu un ilgtermiņa ieguldījumu nolietojuma periodā pieļaujams veikt papildinošu saimniecisko darbību 20 % apmērā no infrastruktūras gada jaudas (platības, laika vai finanšu izteiksmē).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Papildinošas saimnieciskās darbības aprēķina veidu projekta īstenošanas laikā nemaina un aprēķinu veic atbilstoši sākotnēji izvēlētajam veidam platības, laika vai finanšu izteiksmē.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veiktajiem precizējumiem noteikumu projektā, lūdzam izvērtēt un tā anotācijā norādīt uz noteikumu projekta 1. punktā ietvertā papildinošas saimnieciskās darbības skaidrojuma saistību ar Komisijas 2016. gada 19. jūlija paziņojuma par Līguma par Eiropas Savienības darbību 107. panta 1. punktā minēto valsts atbalsta jēdzienu (2016/C 262/01) 207. punktu. Proti, ja ar noteikumu projektu tiek pārņemtas minētā paziņojuma prasības, lūdzam anotācijas 5. sadaļā ailītē "Cita informācija" sniegt attiecīgu - detalizētu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25-TA-447</w:t>
    </w:r>
    <w:r>
      <w:br/>
    </w:r>
    <w:r w:rsidR="00000000" w:rsidRPr="00000000" w:rsidDel="00000000">
      <w:rPr>
        <w:rtl w:val="0"/>
      </w:rPr>
      <w:t xml:space="preserve">Izdrukāts 07.04.2025.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25-TA-447</w:t>
    </w:r>
    <w:r>
      <w:br/>
    </w:r>
    <w:r w:rsidR="00000000" w:rsidRPr="00000000" w:rsidDel="00000000">
      <w:rPr>
        <w:rtl w:val="0"/>
      </w:rPr>
      <w:t xml:space="preserve">Izdrukāts 07.04.2025.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Atzinumi_25-TA-447.docx</dc:title>
</cp:coreProperties>
</file>

<file path=docProps/custom.xml><?xml version="1.0" encoding="utf-8"?>
<Properties xmlns="http://schemas.openxmlformats.org/officeDocument/2006/custom-properties" xmlns:vt="http://schemas.openxmlformats.org/officeDocument/2006/docPropsVTypes"/>
</file>