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otrās projektu iesniegumu atlases kārtas ietvaros ieguldījumus veic finansējuma saņēmēja īpašumā, uz kuru tiesības ir nostiprinātas zemesgrāmatā. Informācijas un komunikācijas tehnoloģiju ieguldījumi plānoti finansējuma saņēmēja īpašumā esošajos digitālajos risinājumos, tai skaitā pēc ieguldījumu veikšanas finansējuma saņēmēja īpašumā atradīsies pirmkodi, intelektuālā īpašuma tiesības, tai skaitā risinājuma modificēšanas tiesības, lai novērstu gadījumus, kad tiek kropļota konkurence, veicot publiskus ieguldījumus kāda konkrēta komersanta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noteikumu projekta 30.punktu ar īpašuma tiesību formu - valdījuma tiesības, lai ieguldījumus īpašumā varētu veikt arī tad, ja pašvaldības izglītības iestādes teritorija vai teritorijā esošs objekts, vai pati izglītības iestāde nav pašvaldības īpašums, bet pašvaldībai ir valdījuma tiesības uz šo objektu. Lūdzam atbilstošus precizējumus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otrās projektu iesniegumu atlases kārtas ietvaros ieguldījumus veic finansējuma saņēmēja īpašumā, uz kuru tiesības ir nostiprinātas zemesgrāmatā</w:t>
            </w:r>
            <w:r w:rsidR="00000000" w:rsidRPr="00000000" w:rsidDel="00000000">
              <w:rPr>
                <w:b w:val="1"/>
                <w:rtl w:val="0"/>
              </w:rPr>
              <w:t xml:space="preserve">, vai valdījumā esošā īpašumā.</w:t>
            </w:r>
            <w:r w:rsidR="00000000" w:rsidRPr="00000000" w:rsidDel="00000000">
              <w:rPr>
                <w:rtl w:val="0"/>
              </w:rPr>
              <w:t xml:space="preserve"> Informācijas un komunikācijas tehnoloģiju ieguldījumi plānoti finansējuma saņēmēja īpašumā esošajos digitālajos risinājumos, tai skaitā pēc ieguldījumu veikšanas finansējuma saņēmēja īpašumā atradīsies pirmkodi, intelektuālā īpašuma tiesības, tai skaitā risinājuma modificēšanas tiesības, lai novērstu gadījumus, kad tiek kropļota konkurence, veicot publiskus ieguldījumus kāda konkrēta komersanta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Matule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35.12. nodrošina sasniegto rezultātu ilgtspēju vismaz piecus gadus pēc noslēguma maksājuma veikšanas, tajā skaitā pašvaldība nodrošina atbalstu saņēmušās vispārējās izglītības iestādes atbilstību kādam no šo noteikumu 1. pielikumā minētajiem kritērijiem, ievērojot šo noteikumu 2. pielikumā minētās pašvaldību iedalījuma grupas, tajā skaitā pašvaldība var pieņemt jaunus domes lēmumus vai veikt grozījumus iepriekš pieņemtajos domes lēmumos attiecībā uz atbalstam izvirzīto izglītības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noteikumu projekta 35.12. apakšpunkta mērķi un būtību attiecībā uz pašvaldības domes lēmumu pieņemšanu projektā sasniegto rezultātu ilgtspējas periodā. Proti, kas ir saprotams ar 35.12. apakšpunktā minēto, ka </w:t>
            </w:r>
            <w:r w:rsidR="00000000" w:rsidRPr="00000000" w:rsidDel="00000000">
              <w:rPr>
                <w:i w:val="1"/>
                <w:rtl w:val="0"/>
              </w:rPr>
              <w:t xml:space="preserve">pašvaldība var pieņemt jaunus domes lēmumus vai veikt grozījumus iepriekš pieņemtajos domes lēmumos attiecībā uz atbalstam izvirzīto izglītības iestādi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 panta 1. punkta "c" apakšpunktā noteikts, ka </w:t>
            </w:r>
            <w:r w:rsidR="00000000" w:rsidRPr="00000000" w:rsidDel="00000000">
              <w:rPr>
                <w:i w:val="1"/>
                <w:rtl w:val="0"/>
              </w:rPr>
              <w:t xml:space="preserve">dalībvalsts atmaksā iemaksas, kas no fondiem saņemtas darbībai, tostarp investīcijas infrastruktūrā vai produktīvas investīcijas, ja piecu gadu laikā pēc galīgā maksājuma saņēmējam vai attiecīgā gadījumā laikposmā, kas paredzēts valsts atbalsta noteikumos, saistībā ar minēto darbību notiek būtiskas izmaiņas, kas ietekmē darbības veidu, mērķus vai īstenošanas nosacījumus, tādējādi traucējot tās sākotnējo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anotācijas 1.3. sadaļas apakšsadaļā "Risinājuma apraksts" norādīts, ka </w:t>
            </w:r>
            <w:r w:rsidR="00000000" w:rsidRPr="00000000" w:rsidDel="00000000">
              <w:rPr>
                <w:i w:val="1"/>
                <w:rtl w:val="0"/>
              </w:rPr>
              <w:t xml:space="preserve">piecus gadus pēc noslēguma maksājuma saņemšanas pašvaldība nodrošina atbalstu saņēmušo vispārējās izglītības iestāžu atbilstību šo noteikumu 1. pielikuma minētajiem kritērijiem, tajā skaitā, pašvaldība nepieņem jaunus vai neveic grozījumus iepriekš pieņemtajos domes lēmumos attiecībā uz atbalstam izvirzīto izglītības iestādi,</w:t>
            </w:r>
            <w:r w:rsidR="00000000" w:rsidRPr="00000000" w:rsidDel="00000000">
              <w:rPr>
                <w:rtl w:val="0"/>
              </w:rPr>
              <w:t xml:space="preserve"> kas neatbilst noteikumu projekta aktuālajai redakcijai. Ievērojot minēto, lūdzam anotācijā ietverto informāciju salāgot ar noteikumu projektā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iekļauto informāciju, ka atsevišķos gadījumos pašvaldības var paredzēt investīcijas tikai vispārējās izglītības iestādes dienesta viesnīcas būvniecībā, pārbūvē vai atjaunošanā un/vai  vispārējās izglītības iestādes sporta infrastruktūras pārbūvē vai atjaunošanā, lūdzam paredzēt, ka šādu izņēmumu gadījumā tiek vērtēta investīciju/pašvaldību atbilstība izglītības iestāžu tīkla optimizācijas kritērijiem un/vai to nepieciešamība jaunā mācību satura ieviešanai. Lūdzam atbilstoši izvērtēt nepieciešamos precizējumu noteikumu projektā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30.10.2024. tika saņemts Eiropas Komisijas jautājums par noteikumu projektā plānoto atbalstāmo darbību atbilstību Eiropas Savienības kohēzijas politikas programmas 2021. – 2027. gadam 4.2.1. specifiskā atbalsta mērķī iekļautajām atbalstāmajām darbībām un Izglītības un zinātnes ministrija skaidroja, ka investīcijām jānodrošina atbilstība skolu tīkla reformas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11.12.2024.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11.12.2024.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