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2.2. apakšpunkts ietver arī jaunu kvalifikāciju iegūšanu (pārkvalifikāciju).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sadarbībā ar Labklājības ministriju un Izglītības un zinātnes ministriju, izstrādā šīs instrukcijas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punktu ar partneriem, kurus iesaista Stratēģijas izstrādē un stratēģisko virzienu noteikšanā. Lūdzam akcentēt 5.punktā arī nozaru ministriju iesaisti stratēģijas izstādē. Lūdzam akcentēt iespējas īstenot profesionālās pilnveides pasākumus arī pašnodarbinātajiem, kas raksturīgs nodarbinātības veids kultūras nozares un radošo industriju jomā strādājošajiem. Kultūras nozares un radošo industriju jomas nozīme tautsaimniecības, izglītības un zinātnes attīstībā ir uzsvērta arī Cilvēkkapitāla attīstības stratēģijas 2024.-2027. gadam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Labklājības ministriju un Izglītības un zinātnes ministriju, iesaistot </w:t>
            </w:r>
            <w:r w:rsidR="00000000" w:rsidRPr="00000000" w:rsidDel="00000000">
              <w:rPr>
                <w:b w:val="1"/>
                <w:rtl w:val="0"/>
              </w:rPr>
              <w:t xml:space="preserve">nozaru ministrijas,</w:t>
            </w:r>
            <w:r w:rsidR="00000000" w:rsidRPr="00000000" w:rsidDel="00000000">
              <w:rPr>
                <w:rtl w:val="0"/>
              </w:rPr>
              <w:t xml:space="preserve">  izstrādā šīs instrukcijas 3. punktā minēto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w:t>
            </w:r>
            <w:r w:rsidR="00000000" w:rsidRPr="00000000" w:rsidDel="00000000">
              <w:rPr>
                <w:b w:val="1"/>
                <w:rtl w:val="0"/>
              </w:rPr>
              <w:t xml:space="preserve">tajā skaitā pašnodarbināto</w:t>
            </w:r>
            <w:r w:rsidR="00000000" w:rsidRPr="00000000" w:rsidDel="00000000">
              <w:rPr>
                <w:rtl w:val="0"/>
              </w:rPr>
              <w:t xml:space="preserve">,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izveido Apvienotās pieaugušo izglītības koordinācijas komisiju (turpmāk - Komisija), kuras sastāvā iekļauj Ekonomikas ministrijas, Labklājības ministrijas, Izglītības un zinātnes ministrijas un, ja nepieciešams, citu kompetento institūciju vai uzņēmumu pārstāvošās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nozaru ministriju lomu Apvienotās pieaugušo izglītības koordinācijas komisijas darba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īstenot starpinstitucionālu sadarbību un informācijas apmaiņu pieaugušo izglītības jomā ar atbildīgajām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13.6.punktu, norādot, vai un kā informācijas apmaiņa pieaugušo izglītības jomā notiks arī ar nozaru ministrijām. Lūdzam sniegt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25.09.2024.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25.09.2024.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