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vienoto valsts interneta plūsmu apmaiņas punktu (GLV-IX)</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vienoto valsts interneta plūsmu apmaiņas punktu (GLV-IX)</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izteiktos iebildumus (17.04.2024. un 30.04.2024.) un nevar piekrist Izziņas 1. un 2.punktā Aizsardzības ministrijas norādītajam pamatojumam.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norāda, ka paredzētā risinājuma izveidošana ir attaisnojama un pamatojama kā ārkārtas risinājums, kas pielietojams tieši valsts apdraudējuma iestāšanās situācijā, piemēram gadījumā, ja Latvijā nav pieejams globālais internets, vai nozīmīgu kiberuzbrukumu gadījumā ir nepieciešams veikt atslēgšanos no globālā interneta.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paredzētā risinājuma piemērošana tādējādi būtu paredzama ar atsevišķu, piemēram Ministru kabineta rīkojumu tieši valsts apdraudējuma iestāšanās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centralizēta trafika apmaiņas infrastruktūra darbotos pastāvīgi, nevis tikai krīzes (valsts apdraudējuma) situācijās, tas mūsuprāt palielinātu, nevis samazinātu Interneta pieejamības riskus augstāk minēto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apsvērumus, nolūkā novērst drošības un ievainojamības riskus, nelabvēlīgu ietekmi uz nozares attīstību un nolūkā nodrošināt godīgas konkurences apstākļus, aicinām organizēt GLV-IX risinājuma darbību tā, lai tā būtu izmantojama noteiktās krīzes un ārkārtas (piem., valsts apdraudējuma) situācijās, nevis kā pastāvīgu risinājumu  ārpus krīzes perioda. Rosinām noteikt, ka  MK noteikumu projekta 18.punktā minētie Interneta datu plūsmas virzīšanas pamatprincipi būtu aktualizējami ar atsevišķu MK rīkojumu situācijās, ja Latvijā nav pieejams globālais internets, vai nozīmīgu kiberuzbrukumu gadījumā ir nepieciešams veikt atslēgšanos no globālā interneta.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izteikto iebildumu (17.04.2024.) un norāda, ka nevar piekrist Izziņas 39.punktā norādītajam, ka iebildums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Anotācijas 2. sadaļā “Tiesību akta projekta ietekmējamās sabiedrības grupas, ietekme uz tautsaimniecības attīstību un administratīvo slogu” ir norādīts, ka tiesiskais regulējums neietekmē nozaru konkurētspēju (2.2.2.apakšpunkts), uzņēmējdarbības vidi (2.2.3.apakšpunkts). Uzskatām, ka minētie novērtējumi nav korekti un iebilstam pret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MK Noteikumu Projekts tieši ietekmē elektronisko sakaru komersantu likumīgās komerciālās intereses, proti – tā kā GLV-IX tiek veidots kā bezmaksas un nozīmīgai daļai lietotāju obligāts, no valsts budžeta finansēts pakalpojums, risinājums ietekmē pašlaik izmantoto necentralizēto interneta trafika apmaiņas savienojumu starp elektronisko sakaru komersantiem konkurētspēju un atņem ekonomisko pamatojumu šādu risinājumu turpmākai izmantošanai un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vēršam uzmanību uz apstākli, ka tiek uzticēta pakalpojuma, kuram pašlaik tirgū pieejamas privātu komersantu nodrošinātas alternatīvas, nodrošināšana vienam komersantam (valsts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joprojām nav sniegta atbilde jautājumā par risinājuma atbilstību konkurences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27.08.2024. 22.00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27.08.2024. 22.00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Atzinumi_24-TA-97.docx</dc:title>
</cp:coreProperties>
</file>

<file path=docProps/custom.xml><?xml version="1.0" encoding="utf-8"?>
<Properties xmlns="http://schemas.openxmlformats.org/officeDocument/2006/custom-properties" xmlns:vt="http://schemas.openxmlformats.org/officeDocument/2006/docPropsVTypes"/>
</file>