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IKT pārvaldības mandāta paplašināšana. Ietver VARAM lomas stiprināšanu, ieviešot vienotus lietderības ietvarus, centralizētu risku monitoringu un investīciju portfeļa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pamatojumu, kā tiks nodrošināta VARAM kapacitāte un kompetence paplašināto funkciju izpildei. Ņemot vērā līdzšinējo pieredzi valsts informācijas sistēmu attīstības projektu īstenošanā un izstrādāto IS sistēmu kvalitātē, nepieciešams skaidri definēt, kādi pasākumi tiks veikti, lai stiprinātu ministrijas praktiskās kompetences pirms jaunu uzraudzības funkciju paplašināšanas.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rindkopu ar teikumu: “Pirms funkciju ieviešanas pilnā apmērā VARAM izvērtē funkciju izpildei nepieciešamo pastāvīgo cilvēkresursu, kompetenču un finansējuma apjomu un nodrošina ilgtspējīgu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 1.2: Nozaru ministrijām ievērot vienotās digitālās attīstības kārtību visām IKT attīstības aktivitātēm</w:t>
            </w:r>
            <w:r w:rsidR="00000000" w:rsidRPr="00000000" w:rsidDel="00000000">
              <w:rPr>
                <w:i w:val="1"/>
                <w:rtl w:val="0"/>
              </w:rPr>
              <w:t xml:space="preserve">Priekšlikums 1.5: Uz riskiem un ietekmi balstīta uzraudzība, neatkarīgi izvērtējumi un korektīvās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ziņojuma 1.2 un 1.5 priekšlikumos ir minēta atvērtā koda risinājumu izvērtēšana, tomēr ņemot vērā to, ka ziņojums vairākkārt uzsver izmaksu konsolidāciju IKT uzturēšanas jautājumos, būtu svarīgi uzsvērt, ka atvērtā koda rīku un risinājumu izvēle būtu primāra, kas attiecīgi mazinātu piegāžu ķēžu drošības riskus un kopējās IKT pārvaldības izmaksas, kā arī mazinātu atkarību no lielo korporāciju ietekmi uz valsts pārvaldē izmantoto IKT infrastruktūru, licencēm t.sk. mazinātu ierobežotas konkurences produktu un pakalpojumu tirdzniecību.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publisko līdzekļu lietderīgu izmantošanu, samērīgu administratīvo slogu un vienotu pieeju IKT investīciju plānošanai, MK līmenī noteikt trīs līmeņu IKT resursu attīstības aktivitāšu lietderības un iepirkumu plānu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noteikti izvērtēšanas maksimālie termiņi, lai jaunais modelis nekavētu projektu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teikumu: “Metodikā katram izvērtēšanas līmenim nosaka maksimālo izvērtēšanas termiņu un vienreizējas informācijas pieprasīšanas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VARAM piedāvā pārvaldes spēju konsolidāciju sākt tieši ar atbalsta funkciju pilnīgu centralizēšanu, efektivitātes ieguvumus gūstot ne tikai no procesu unificēšanas un apjomu ieguvumiem, bet arī izmantojot jauno tehnoloģiju – tajā skaitā mākslīgā intelekta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risinājuma praktisko īstenojamību un termiņus, jo pilnīga centralizācija ir ļoti ambiciozs mērķis, it īpaši centralizēt visu darba vietu atbalstu vienā institūcijā. Vienlaikus ar jaunu centralizētu funkciju izveidi būtu jāsniedz objektīvs izvērtējums par līdzšinējo centralizēto iniciatīvu rezultātiem. Piemēram, būtu lietderīgi analizēt iepriekš īstenoto pakalpojumu unifikācijas iniciatīvu rezultātus un identificēt kavējošos faktorus, lai pamatotu piedāvātā modeļa efektivitāti. Gada laikā VARAM nespēja unificēt 1 pašvaldību pakalpojuma procesu (Tirdzniecības 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centralizācijas tvērumu un skaidri norādīt, uz kurām publiskās pārvaldes institūcijām paredzēta atbalsta funkciju un datorizēto darba vietu pilnīga centralizācija. Ziņojumā atsevišķās vietās centralizācijas modelis attiecināts uz valsts tiešās pārvaldes darbiniekiem, savukārt citviet izmantots plašāks jēdziens “pārvalde”, kas var radīt atšķirīgu interpretāciju par modeļa attiecināšanu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vēlams papildināt ar valsts pārvaldes atbalsta funkciju centralizācijas ieviešanas plānu, nosakot centralizācijas tvērumu, secīgos ieviešanas posmus, katra posma termiņus, aptveramo institūciju un darba vietu skaitu, nepieciešamo investīciju apjomu, finansējuma avotus, ikgadējās uzturēšanas izmaksas un plānoto ekonomisko ieguvumu. Ziņojumā pašlaik norādīts ERAF finansējuma instruments un atsevišķi projekta uzsākšanas termiņi, taču nav norādītas centralizācijas kopējās izmaksas, pabeigšanas termiņš un ilgtermiņa finansēšanas modelis pēc ES fondu finansējuma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pārvaldes iestādes saskaras ar kapacitātes un kompetenču trūkumu prasību analīzē, risinājumu arhitektūrā, programmatūras risinājumu iepirkumos un kvalitātes kontrolē, kas palielina risku iegādāties neatbilstošus, savstarpēji nesavietojamus risinājumus un padziļināt atkarību no piegādātājiem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administratīvā sloga pieaugumu. Ziņojumā paredzēts paplašināt sākotnējās pamatošanas un saskaņošanas prasības, tomēr nav izvērtēts, kā tas ietekmēs projektu sagatavošanas termiņus un administratīvo slogu institūcijām, īpaši gadījumos, kad pēc dokumentācijas iesniegšanas vēl būs nepieciešams VARAM izvērtējums. Tajā pat laikā skaidri tiek norādīts, ka pat gadījumos, kad nav kapacitāte šo visu izvērtēt, tas tāpat tiks prasīts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 3.3: Elektronisko iepirkumu sistēmas katalogu izmantošanas ierobežošana un tīrīšana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 priekšlikums ir labs pēc būtības, tomēr būtu jāpapildina ar EIS katalogos iekļauto tirgotāju atbilstību Ministru kabineta 2025. gada 25. jūnija noteikumiem Nr. 397 “Minimālās kiberdrošības prasības” t.i. EIS katalogos pieejami tikai tie tirgotāji un to preces un pakalpojumi par kuriem Satversmes aizsardzības birojs devis pozitīvu atzinumu. Attiecīgi šāda pieeja mazinātu birokrātisko slogu un saskaņošanas laika termiņus pirkšanas procesā. Veicamas arī izmaiņas attiecīgajos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...tai skaitā izvirzot obligātu prasību IKT risinājuma programmatūras kodu publicēt kodu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Jānošķir pasūtītājam individuāli izstrādātais kods no piegādātāja iepriekš radīta intelektuālā īpašuma, standartproduktiem, trešo personu komponentēm un komercnoslēpuma.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Individuālu izstrāžu gadījumā pasūtītājam nodrošina tiesības uz publiski finansēto individuāli izstrādāto programmatūras kodu un tā glabāšanu noteiktā koda repozitorijā. Publiskas pieejamības apjomu nosaka, ievērojot kiberdrošības, intelektuālā īpašuma, licencēšanas un komercnoslēpuma aizsardzības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Starptautiskā pieredze: pakāpeniska, uz pilotdarbību balstīta iepirkuma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un pašvaldības strādā ar iedzīvotāju datiem, vai tiešām var atļauties īstenot pilotprojektus ar reāliem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Vispārīgi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izstrādē nav pētīta un ņemta vērā individuālu pašvaldību esošā situācija IKT pārvaldības jomā t.sk. izmantoto informācijas sistēmu, tehnisko resursu, licenču un IKT jomā nodarbināto kompetenču esamība un to izmaksas. Vienotas pieejas ieviešana visās pašvaldībās var radīt situāciju, ka tā nespēs atļauties konkrētu licenču un sistēmu abonēšanu, kā arī atbilstošu IKT speciālistu piesaisti. Ziņojumā tika novērots, ka nav skaidri noteikta pašvaldību loma un pārstāvība lemšanas procesos, kas tiešā mērā noteiks IKT infrastruktūras attīstību tajās.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ziņojuma tvērumu un paustos iebildumus,</w:t>
            </w:r>
            <w:r w:rsidR="00000000" w:rsidRPr="00000000" w:rsidDel="00000000">
              <w:rPr>
                <w:b w:val="1"/>
                <w:u w:val="single"/>
                <w:rtl w:val="0"/>
              </w:rPr>
              <w:t xml:space="preserve"> lūdzam organizēt ziņojuma un ar to saistīto procesu skaidrojošu tiešsaistes tikšanos pašvaldību IKT speciālistu, politiskās un izpildvaras līmenī,</w:t>
            </w:r>
            <w:r w:rsidR="00000000" w:rsidRPr="00000000" w:rsidDel="00000000">
              <w:rPr>
                <w:rtl w:val="0"/>
              </w:rPr>
              <w:t xml:space="preserve"> lai nodrošinātu vienotu izpratni visām iesaistītajām pusēm, jo piedāvātās izmaiņas IKT pārvaldībā skar gan pašvaldību finansiālās iespējas, iespējamu papildu cilvēkresursu piesaisti, kā arī iekšēji noteiktos IKT attīstības plānus un pašvaldību funkciju nodrošināšanu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Lielas vai stratēģiskas IKT resursu attīstības aktivitātes (virs 3 000 000 EUR)</w:t>
            </w:r>
            <w:r w:rsidR="00000000" w:rsidRPr="00000000" w:rsidDel="00000000">
              <w:rPr>
                <w:i w:val="1"/>
                <w:rtl w:val="0"/>
              </w:rPr>
              <w:t xml:space="preserve">Lielas vai stratēģiskas IKT resursu attīstības aktivitātes tiek centralizēti izvērtētas Valsts IKT vadības birojā. Par stratēģisku uzskatāma arī tāda aktivitāte, kas neatkarīgi no kopējā finansējuma apmēra atbilst vismaz vienam no šādiem kritērijiem:</w:t>
            </w:r>
            <w:r w:rsidR="00000000" w:rsidRPr="00000000" w:rsidDel="00000000">
              <w:rPr>
                <w:i w:val="1"/>
                <w:rtl w:val="0"/>
              </w:rPr>
              <w:t xml:space="preserve">ietekmē vairāk nekā vienu ministriju vai nozari;</w:t>
            </w:r>
            <w:r w:rsidR="00000000" w:rsidRPr="00000000" w:rsidDel="00000000">
              <w:rPr>
                <w:i w:val="1"/>
                <w:rtl w:val="0"/>
              </w:rPr>
              <w:t xml:space="preserve">veido vai būtiski maina valsts koplietošanas platformu;</w:t>
            </w:r>
            <w:r w:rsidR="00000000" w:rsidRPr="00000000" w:rsidDel="00000000">
              <w:rPr>
                <w:i w:val="1"/>
                <w:rtl w:val="0"/>
              </w:rPr>
              <w:t xml:space="preserve">rada būtisku ietekmi uz kiberdrošību vai datu pārvaldību;</w:t>
            </w:r>
            <w:r w:rsidR="00000000" w:rsidRPr="00000000" w:rsidDel="00000000">
              <w:rPr>
                <w:i w:val="1"/>
                <w:rtl w:val="0"/>
              </w:rPr>
              <w:t xml:space="preserve">paredz būtiskas uzturēšanas izmaksas visā risinājuma dzīves ciklā;</w:t>
            </w:r>
            <w:r w:rsidR="00000000" w:rsidRPr="00000000" w:rsidDel="00000000">
              <w:rPr>
                <w:i w:val="1"/>
                <w:rtl w:val="0"/>
              </w:rPr>
              <w:t xml:space="preserve">rada būtisku piegādātāju atkarības vai tehnoloģiskās ilgtspējas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par stratēģisku tiek atzīta arī aktivitāte, kas neatkarīgi no finansējuma “rada būtisku ietekmi uz kiberdrošību vai datu pārvaldību”. Tomēr nav pietiekami skaidri noteikti kritēriji, pēc kuriem šāda ietekme tiek konstatēta. Tas var radīt atšķirīgu interpretāciju praksē un nevienmērīgu projektu virzīšanu starp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noteikt konkrētus kritērijus, piemēram, personas datu apjoms un sensitivitāte, vairāku institūciju datu apmaiņa, būtiskas izmaiņas piekļuves pārvaldībā, centralizētu platformu ietekme, kritisku pakalpojumu nepārtrauktība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digitālās investīciju padomes mērķis ir nodrošināt kvalitatīvu, starpinstitucionālu un ekspertīzē balstītu lielo un stratēģisko IKT investīciju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pašvaldību pārstāvību jautājumos, kas tieši ietekmē pašvaldību IKT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FM – finansiālās ietekmes uz valsts budžetu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kas rada pienākumus vai izmaksas pašvaldībām, nepietiek vērtēt tikai valsts budžeta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 finansiālās ietekmes uz valsts budžetu vērtējums, kā arī kopējās publiskā sektora fiskālās ietekmes vērtējums, ja projekts rada finansiālu ietekmi uz pašvaldībām vai citām atvasinātām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Neatkarīgs izvērtējums nav universāls audits, tā saturs ir pielāgojams konkrētajam riska profilam un atkarībā no konkrētās situācijas tas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Neatkarīgā izvērtējuma saturā nav skaidri izdalīts atsevišķs personas datu aizsardzības izvērtējums, tostarp gadījumi, kad obligāti veicams datu aizsardzības ietekmes novērtējums. Ar “datu pārvaldības” jēdzienu vien nepietiek, jo tas nenosedz visus personas datu apstrādes tiesiskuma, minimizācijas, glabāšanas termiņu un datu subjektu tiesību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augstas ietekmes aktivitātēm, kurās tiek apstrādāti personas dati, īpašu kategoriju personas dati vai tiek ieviesti jauni datu apstrādes modeļi, ir obligāts novērtējums par ietekmi uz datu aizsardzību (NIDA).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kāds ir minimālais kiberdrošības prasību saturs un kādos gadījumos CERT.LV izvērtējums ir obligāts. Bez šādas konkretizācijas pastāv risks, ka prasību piemērošana būs nevienmērīga.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noteikt minimālās prasības augstas ietekmes projektiem, piemēram, piekļuves pārvaldība, ievainojamību pārvaldība, drošības testēšana, žurnalēšana, incidentu pārvaldība, piegādātāja piekļuves kontrole, kā arī definēt skaidrus kritērijus, kad CERT.LV vai ārējs drošības audits ir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Arhitektūras izvērtējums – valsts IKT vadības birojs VARAM ietvaros, izmantojot jomu arhitektus, piesaistot kompetences centrus vai nepieciešamības gadījumā arī neatkarīgus nozares ekspertus, izmantojot t.s. “Industry Advisory Board”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“Industry Advisory Board” pieejas piemērošanas kārtību, nosakot ekspertu atlases un kvalifikācijas kritērijus, neatkarības un interešu konflikta novēršanas prasības, konfidencialitātes nosacījumus, ekspertu atzinuma juridisko statusu, projekta īstenotāja tiesības sniegt iebildumus un atkārtotas izvērtēšanas kārtību. Ja ekspertu vērtējums var būt par pamatu projekta virzības apturēšanai, minētajiem nosacījumiem jābūt noteiktiem pirms šādas pieejas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Lēmums: MK konceptuāli atbalsta digitālās attīstības un atbalsta pakalpojumu centra izveidi, aptverot valsts pakalpojumu un datu koplietošanas, centralizētas darbstaciju pārvaldības, mākslīgā intelekta, kā arī centralizētu dokumentu apriti, konsolidējot tam nepieciešamos valsts pārvaldes resursus vienuviet.</w:t>
            </w:r>
            <w:r w:rsidR="00000000" w:rsidRPr="00000000" w:rsidDel="00000000">
              <w:rPr>
                <w:i w:val="1"/>
                <w:rtl w:val="0"/>
              </w:rPr>
              <w:t xml:space="preserve">2.1. uzdevums VARAM: lai nodrošinātu centralizēta atbalsta attīstību dokumentu un uzdevumu vadības, IKT infrastruktūras nodrošinājuma un standarta pakalpojumu, kā arī publisko pakalpojumu sniegšanas un datu pārvaldības tehnoloģiskā nodrošinājuma jomās, līdz 2026. gada 31. oktobrim uzsākt attiecīgo projektu īstenošanu ERAF SAM 1.3.1.1. pasākuma ietvaros.</w:t>
            </w:r>
            <w:r w:rsidR="00000000" w:rsidRPr="00000000" w:rsidDel="00000000">
              <w:rPr>
                <w:i w:val="1"/>
                <w:rtl w:val="0"/>
              </w:rPr>
              <w:t xml:space="preserve">Līdz 2027. gada 27. februārim VARAM, sadarbībā ar Valsts kanceleju, FM, Kultūras ministriju un citiem resoriem sagatavot priekšlikumu digitālās attīstības un atbalsta pakalpojumu centra darbības modelim un darbības uzsākšanai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saspringti termiņi un nepieciešams precizēt darbu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norādīts – 31.10.2026. – sāk īstenot projektus → 27.02.2027. – definē centra darbības modeli → 2027. gadā – centrs sāk darbību. Nepieciešams precizēt, ko nozīmē 31.10.2026. – sāk īstenot projektus, jo citādi iznāk, ka projekta īstenošana tiek uzsākta pirms mērķa darbības modeļa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piemēram, centralizētas darbstaciju pārvaldības projekta uzsākšanas būtu jāzina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 ko pārņem → no kā → kādā secībā → par kādu finansējumu → ar kādu SLA → ar kādu atbildības sadalījumu → kas finansē pēc ERAF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darbības modelis, kam uz šiem jautājumiem vajadzētu atbildēt, būs tikai 2027. gada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modelis ir gatavs 2027.gada februārī, tad līdz darbības uzsākšanai vēl jāveic virkne praktisku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Inventarizēt pārņemamos resursus → noteikt organizatorisko struktūru → pārcelt cilvēkresursus → sakārtot budžetu → pārņemt līgumus → veikt iepirkumus → definēt SLA → izveidot Service Desk procesus → sagatavot infrastruktūru → veikt pilotmigrācijas → sākt pilotinstitūciju migrāciju.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Šāds instruments gan vairāk uzskatāms par jaunuzņēmumu darbības atbalsta pasākumu, kā standarta scenāriju valsts platformu attīstībai, bet ir ieviešams kā tirgu un valsts pārvaldes inovācijas stimulējošs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regulējuma ietekmi uz inovāciju vidi un konkurenci publiskajos iepirkumos. Ja individuālu izstrāžu gadījumā tiek paredzēta obligāta programmatūras pirmkoda publicēšana vai nodošana publiskā sektora pasūtītājam, nepieciešams izvērtēt šīs prasības samērīgumu un tās ietekmi uz jaunuzņēmumu un citu inovatīvu uzņēmumu motivāciju piedāvāt publiskajam sektoram savus risinājumus. Būtu lietderīgi paredzēt līdzsvarotu pieeju, kas nodrošina publiskā sektora tiesības uz par publiskajiem līdzekļiem individuāli izstrādāto programmatūras kodu un mazina atkarību no viena piegādātāja, vienlaikus aizsargājot piegādātāja iepriekš radīto intelektuālo īpašumu, komercnoslēpumu un trešo personu komponentes.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ir apsverama iespēja Valsts ieņēmumu dienestam sadarbībā ar VZBD kompetences centru uzņemties atbildību par nekustamā īpašuma nodokļa aprēķināšanas un iekasēšanas tehnisko nodrošinājumu, tādējādi risinot tehnoloģiski kritiski novecojušā un no viena izstrādātāja atkarīgo NĪNO risinājuma aizstāšanas problēmu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vienota nekustamā īpašuma nodokļa administrēšanas tehnoloģiskā risinājuma izveidi, sadarbībā ar pašvaldībām izstrādājot NĪN tehnoloģiskā nodrošinājuma mērķarhitektūru un, izvērtējot optimālo institucionālo un tehnoloģisko modeli, tostarp VID un VZBD kompetenču izmantošanu. Izvērtējumā nodrošināt pašvaldību autonomo funkciju un kompetences saglabāšanu, atvērtu integrāciju, datu pārnesamību un piegādātāju atkarības mazināšanu. Centralizētajam NĪN tehnoloģiskajam risinājumam jānodrošina pašvaldībām iespēja patstāvīgi konfigurēt normatīvajos aktos un pašvaldību saistošajos noteikumos noteiktos NĪN piemērošanas parametrus un atvieglojumus, neprasot individuālas programmatūras izstrādes izmaiņas katras pašvaldības noteikumu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14.08.2026.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14.08.2026.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