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līdzšinējos Ekonomikas ministrijas komentārus, attiecībā uz demarkācijas nodrošināšanu un dubultā finansējuma pārbaudēm pret Ekonomikas ministrijas pārraudzībā esošajām atbalsta programmām, atkārtoti aicinām papildināt noteikumu projekta anotāciju ar skaidrojumu par demarkācijas nodrošināšanu pret ANM 1.2.1.2.i. 2. pasākumu, 2.2.1.3.i. investīciju, 5.1.1.2.i. investīciju, kā arī ERAF 21-27 1.2.1.1. pasākuma 3.kārtu. Vēršam uzmanību, ka Ekonomikas ministrija ir identificējusi pētniecības un zināšanu izplatīšanas organizācijas, kuras saņem atbalstu iepriekš minēto atbalsta programmu ietvaros, un pastāv pētniecības aktivitāšu pārklāšanās risks ar Izglītības un zinātnes ministrijas 1.1.1.5.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projekta anotācijā pašlaik iekļautas atsauces uz Ekonomikas ministrijas atbalsta programmām, kas nav saistītas ar pētniecības aktivitāšu veikšanu, aicinām veikt attiecīgus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19.06.2024.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19.06.2024.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Atzinumi_24-TA-925.docx</dc:title>
</cp:coreProperties>
</file>

<file path=docProps/custom.xml><?xml version="1.0" encoding="utf-8"?>
<Properties xmlns="http://schemas.openxmlformats.org/officeDocument/2006/custom-properties" xmlns:vt="http://schemas.openxmlformats.org/officeDocument/2006/docPropsVTypes"/>
</file>