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22-TA-1467: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pirmās kārtas „Noziedzīgi iegūtu līdzekļu legalizācijas novēršanas grants”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Investīcijas pirmās kārtas projekta (turpmāk - projekts) iesniedzējs ir Rīgas Tehniskā universitāte, kas pēc tam, kad ir noslēgta vienošanās par projekta īstenošanu ar atbalsta sniedzēju, ir arī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MK noteikumu projektam TAP Latvijas Universitāšu asociācijas atzinumu par noteikumu projektu, kurā, kā minēts izziņā, tiek atbalstīta IZM sagatavotā noteikumu projekta redakcija un tā tālāka virzība apstiprināšanai MK, kā arī RTU kā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 (Laura Naudiņa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citas izmaksas, kas saistītas ar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 atbalstāmo darbību īstenošanu, t.sk. izmaksas, kas nav tieši saistītas ar investīcijas pirmās kārtas projekta rezultātu sasniegšanu, bet atbalsta un nodrošina atbilstošus apstākļus investīciju projekta veicamo darbību realizācijai un investīcijas pirmās kārtas projekta rezultātu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13.7.punktā norādīto izmaksu ierobežojumu, kā arī papildināt anotāciju, skaidrojot, kādas izmaksu pozīcijas paredzēts plānot.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citas izmaksas, kas saistītas ar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 atbalstāmo darbību īstenošanu, t.sk. izmaksas, kas nav tieši saistītas ar investīcijas pirmās kārtas projekta rezultātu sasniegšanu, bet atbalsta un nodrošina atbilstošus apstākļus investīciju projekta veicamo darbību realizācijai un investīcijas pirmās kārtas projekta rezultātu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izmaksām jābūt tieši saistītām ar investīcijas mērķiem un rādītāju sasniegšanu, kā arī jābūt iekļautām AF plānā. Tāpat izmaksas nedrīkst aizvietot plānotos kārtējos administratīvos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iekļautas citas izmaksas, lūdzam apliecināt, ka visas MK noteikumu projekta 13.punktā noteiktās izmaksas veicinās investīcijas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 (Laura Naudiņa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Atbalsta sniedzējs izvērtē projekta iesniedzēja atbilstību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minētajiem izslēgšanas kritērijiem un sniedz atzinumu nozares ministrijai, kura, pamatojoties uz šo atzinumu, pieņem lēmumu.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Nozares ministrija nodrošina projekta iesnieguma atbilstību noteikumu prasībām izvērtēšanu, lūdzam koriģēt noteikumu projekta 21.punktu, nosakot, ka izslēgšanas kritēriju pārbaudi nodrošinās Nozares ministrija. Par šādu kārtību ar Izglītības un zinātnes ministriju esam konceptuāli vienojušies </w:t>
            </w:r>
            <w:r w:rsidR="00000000" w:rsidRPr="00000000" w:rsidDel="00000000">
              <w:rPr>
                <w:i w:val="1"/>
                <w:rtl w:val="0"/>
              </w:rPr>
              <w:t xml:space="preserve">starpresoru vienošanās par sadarbību Eiropas Savienības Atveseļošanas un noturības mehānisma īstenošanā un uzraudzībā</w:t>
            </w:r>
            <w:r w:rsidR="00000000" w:rsidRPr="00000000" w:rsidDel="00000000">
              <w:rPr>
                <w:rtl w:val="0"/>
              </w:rPr>
              <w:t xml:space="preserve"> skaņošanas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Investīcijas pirmās kārtas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5.2.1.1.i. investīcija tiek īstenota tikai nacionālo rādītāju sasniegšanai, lūdzam papildināt MK noteikumus ar nosacījumiem par proporcionālās finanšu korekcijas principiem rādītāju neizpildes vai daļējas rādītāju izpildes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nodrošina datu ticamības pārbaudes;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32.2.punktu, jo saskaņā ar 07.09.2021. MK noteikumu Nr.621 "Eiropas Savienības Atveseļošanas un noturības mehānisma plāna īstenošanas un uzraudzības kārtība" 9.2.punktu, atbalsta sniedzējs izlases veidā pārbauda tikai Atveseļošanas fonda plānā definēto atskaites punktu un mērķu (tai skaitā datu) ticamību.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nodrošina pārbaudes projekta īstenošanas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32.3.punktu ar tekstu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nodrošina pārbaudes projekta īstenošanas vietā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Finansējuma saņēmējs nodrošina, ka ieņēmumi no maksas par specializēto studiju moduļu piedāvājuma nepārsniedz 50 procentus no kopējiem izdevumiem šo moduļu sagatavošanai un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ir plānots realizēt projektu, kas saistīts gan ar aktivitāšu īstenošanu jaunas studiju programmas izveidei, gan arī ar saimniecisko darbību nesaistītu pētījumu īstenošanai, no MK noteikumu projekta un skaidrojuma anotācijā nav skaidrs uz kuru no šīm sadaļām būtu attiecināmi MK noteikumu projekta 36.punkta nosacījumi. Vēršam uzmanību, ka ievērojot 28.10.2022. Komisijas paziņojuma “Pētniecībai, izstrādei un inovācijai piešķiramā valsts atbalsta nostādnes” (2022/C 414/01) (turpmāk – Pamatnostādnes) 20.punktā noteikto, publiskā izglītība, kas tiek nodrošināta valsts izglītības sistēmas ietvaros un kas galvenokārt vai pilnībā ir valsts finansēta un uzraudzīta, tiek uzskatīta par darbību, kas nav saimnieciska darbība. Attiecīgi lūdzam precizēt MK noteikumu projekta 36.punktu, nepārprotami nodrošinot tā atbilstību Pamatnostādnēs noteiktajam. Ar atbilstošu skaidrojumu lūdzam papildināt arī anotāciju. Vienlaikus lūdzam gan MK noteikumu projekta 36.punktā, gan anotācijā minēt, ka ieņēmumi no maksas par specializēto studiju moduļu izmantošanu būs ieņēmumi no studentiem mācību procesā, nepārsniedzot 50 procentus no kopējiem izdevumiem šo moduļu sagatavošanai un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Finansējuma saņēmējs projekta īstenošanas laikā un piecus gadus pēc noslēguma maksājuma veikšanas dalībvalstij nodrošina atsevišķu ar projekta īstenošanu saistīto darījumu ieņēmumu un izdevumu grāmatvedības uzskaiti, kā arī darbību un ar to īstenošanu saistīto finanšu plūsmu nodalīšanu atbilstoši normatīvajiem aktiem par gada pārskata sagatavošanas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noteikumus ar informāciju par to, kura uzraugošā institūcija veiks uzraudzību 36.punkta un 37.punkta izpildei un cik ilgi uzraudzība ir jāveic. Vēršam uzmanību, ka ņemot vērā to, ka Atveseļošanas fonda regulējums neparedz obligātu pienākumu nodrošināt pēcuzraudzības periodu, Centrālā finanšu un līgumu aģentūra nav paredzējusi veikt projektu uzraudzību pēcuzraudzības periodā. Ja MK noteikumi noteiks komercdarbības atbalsta nosacījumu uzraudzības pienākumu veikt Centrālai finanšu un līgumu aģentūrai, šādi līdzekļi ir paredzami no valsts budžeta. Attiecīgi, ja nepieciešams, lūdzam papildināt MK noteikumu anotāciju, norādot ietekmi uz valsts budžetu un norādot finansējuma avotu. Vēršam uzmanību - ja MK noteikumu 36. un 37.punktā plānoto uzraudzību nav iespējams nodrošināt esošo līdzekļu ietvaros, tad jautājums par papildu finansējumu ir izskatāms MK gadskārtējā valsts budžeta projekta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 (Laura Naudiņa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anotācijas rādītāju tabulā visus 5.2.1.1.i. investīcijas rādītājus atbilstoši Padomes īstenošanas lēmumam par Latvijas Atveseļošanas un noturības plāna novērtējuma apstiprināšanu (CID) un ievadteikumā pirms tabulas ielikt atsauci arī uz CID.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 (Laura Naudiņa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rādītāju tabulā norādīt konkrētus rādītāju sasniegšanas datumus (vai gada ceturkšņus) atbilstoši Padomes īstenošanas lēmumam par Latvijas Atveseļošanas un noturības plāna novērtējuma apstiprināšanu (CID) un Darbības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 (Laura Naudiņa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rādītāju tabulā precizēt rādītāju redakcijas atbilstoši Darbības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 (Laura Naudiņa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minēto objektīvo pamatojumu dzimumu līdztiesības un vienlīdzīgu iespēju principu risku neesamībai.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 (Laura Naudiņa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pētniecības organizācija – organizācija, kas atbilst Komisijas regulas Nr.651/2014 2. panta 83. punktā noteiktajai pētniecības un zināšanu izplatīšanas organizācijas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MK noteikumu projekta 2.4.apakšpunktā pilnu regulas nosaukumu un pieņemšanas datumu, ņemot vērā, ka saīsinājums iepriekš nav atrunāts.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22-TA-1467</w:t>
    </w:r>
    <w:r>
      <w:br/>
    </w:r>
    <w:r w:rsidR="00000000" w:rsidRPr="00000000" w:rsidDel="00000000">
      <w:rPr>
        <w:rtl w:val="0"/>
      </w:rPr>
      <w:t xml:space="preserve">Izdrukāts 22.11.2022. 21.09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22-TA-1467</w:t>
    </w:r>
    <w:r>
      <w:br/>
    </w:r>
    <w:r w:rsidR="00000000" w:rsidRPr="00000000" w:rsidDel="00000000">
      <w:rPr>
        <w:rtl w:val="0"/>
      </w:rPr>
      <w:t xml:space="preserve">Izdrukāts 22.11.2022. 21.09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Atzinumi_22-TA-1467.docx</dc:title>
</cp:coreProperties>
</file>

<file path=docProps/custom.xml><?xml version="1.0" encoding="utf-8"?>
<Properties xmlns="http://schemas.openxmlformats.org/officeDocument/2006/custom-properties" xmlns:vt="http://schemas.openxmlformats.org/officeDocument/2006/docPropsVTypes"/>
</file>