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pašvaldības vai to izveidoti sociālo pakalpojumu 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72. panta pirmā daļa noteic, ka pašvaldības ekonomiskais pamats ir pašvaldības manta, tostarp kustamais un nekustamais īpašums, un finanšu līdzekļi. Vienlaikus Pašvaldību likuma 10. panta otrās daļas 1. punkts noteic, ja likums tieši nenoteic, ka attiecīgā lēmuma pieņemšana ir domes kompetencē, dome, paredzot to pašvaldības nolikumā, var pilnvarot pašvaldības administrāciju lemt par pašvaldības nekustamā īpašuma izmantošanu. Tādejādi tas, ka pašvaldības manta atrodas pašvaldības iestādes lietošanā, vienlaikus nenozīmē tiesības patstāvīgi rīkoties ar pašvaldības īpašumu kā īpašniekam. Ņemot vērā minēto, lūdzam pārskatīt šo tiesību normu un attiecīgi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22.10.2025.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22.10.2025.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Atzinumi_25-TA-2426.docx</dc:title>
</cp:coreProperties>
</file>

<file path=docProps/custom.xml><?xml version="1.0" encoding="utf-8"?>
<Properties xmlns="http://schemas.openxmlformats.org/officeDocument/2006/custom-properties" xmlns:vt="http://schemas.openxmlformats.org/officeDocument/2006/docPropsVTypes"/>
</file>