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Iekšlietu ministrijai, ja nepieciešams, precizēt projekta finansējuma sadalījumu starp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2. tabulā ietvertajā "Finansējuma sadalījumā pa pasākumiem" norādīts uz Iekšlietu ministriju vai citu finansējuma saņēmēju pasākumā "Rezerve neparedzētiem gadījumiem, sadārdzinājumam". Savukārt lēmuma projekta 4. punktā paredzēta atļauja Iekšlietu ministrijai, ja nepieciešams, precizēt projekta finansējuma sadalījumu starp institūcijām. Saistībā ar minēto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vai projekta finansējuma sadalījumu starp institūcijām var precizēt vienīgi pasākumam "Rezerve neparedzētiem gadījumiem, sadārdzinājumam" atvēlētā finansējuma apmērā un vienīgi starp lēmuma projekta 3. punktā minētajām institūcijām. Attiecīgi lūdzam izvērtēt un atbilstoši precizēt ziņojumu un nepieciešamības gadījumā arī lēmuma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skaidrs, kādos gadījumos varētu būt nepieciešams precizēt projekta finansējuma sadalījumu, tai skaitā, vai paredzēts vērtēt attiecīgo projekta izmaiņu lietderību, pamatotību un nepieciešamību projekta sākotnējā mērķa sasniegšanai. Attiecīgi lūdzam izvērtēt un precizēt lēmuma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ietvertās informācijas nepārprotamam atspoguļojumam lūdzam ziņojumā skaidrot, ar ko atšķiras projekta Nr. HOME-2022-AMIF-AG-EMAS-TF1-LV-0012 – UA-SUP  “Atbalsts pārvietotajām personām no Ukrainas Latvijā” noslēguma datums (noslēgums) no projekta beigu datuma.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ziņojumā norāžu uz Krievijas karu pret Ukrainu vietā norādīt uz Krievijas militāro agresiju Ukrainā, tādējādi juridiski korekti un nepārprotami aprakstot attiecīgos notikumus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13.04.2023.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13.04.2023.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