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Finansējuma un rādītāju aprēķini)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Katram projekta iesniedzējam plānotais kopējais attiecināmais finansējums nepārsniedz: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18.punkta 18.2.apakšpunktā minētais  projekta iesniedzējam plānotais kopējais attiecināmais finansējums Latvijas Kultūras akadēmijai sadarbībā ar Latvijas Mākslas akadēmiju un Jāzepa Vītola Latvijas Mūzikas akadēmiju ir 446 795  euro. Savukārt papildu dokumentos iekļautajā anotācijas pielikumā "1.1.1.8. pasākuma projektiem plānotā finansējuma un  sasniedzamo rādītāju aprēķins" (excel tabulā)  plānotais finansējums ir 446 779,04. Līdzīgas nesakritības attiecas arī uz  18.3., 18.4.,18.5.,18.6. un 18.7. apakšpunktā minēto projekta iesniedzējam plānoto kopējo attiecināmo finansējumu.  Ņemot vērā, ka abos dokumentos ir atšķirīgas kopsummas, lūdzam precizēt, norādot abos dokumentos vienādu plānotā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03.08.2023.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03.08.2023.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Atzinumi_23-TA-1396.docx</dc:title>
</cp:coreProperties>
</file>

<file path=docProps/custom.xml><?xml version="1.0" encoding="utf-8"?>
<Properties xmlns="http://schemas.openxmlformats.org/officeDocument/2006/custom-properties" xmlns:vt="http://schemas.openxmlformats.org/officeDocument/2006/docPropsVTypes"/>
</file>