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atkārtoti lūdzam noteikumu projekta anotācijas 5.4. sadaļas 1. tabulu (A,B,C un D aili) papildināt ar informāciju par konkrētu Komisijas 2023. gada 13. decembra Regulas (ES) Nr. 2023/2831 par Līguma par Eiropas Savienības darbību 107. un 108. panta piemērošanu de minimis atbalstam vienību ieviešanu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6. tā atbilst komercdarbības atbalsta nosacījumiem atbilstoši šo noteikumu 25. punktā un 5. nodaļā minētajiem de minimis atbalsta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ietvertajā Ministru kabineta 2023. gada 12. septembra noteikumu Nr. 529 "Eiropas Savienības Atveseļošanas un noturības mehānisma plāna 2. komponentes "Digitālā transformācija" 2.3. reformu un investīciju virziena "Digitālās prasmes" 2.3.1.2.i. investīcijas "Uzņēmumu digitālo prasmju attīstība" īstenošanas noteikumi" 20.8. apakšpunktā un 20.</w:t>
            </w:r>
            <w:r w:rsidR="00000000" w:rsidRPr="00000000" w:rsidDel="00000000">
              <w:rPr>
                <w:vertAlign w:val="superscript"/>
                <w:rtl w:val="0"/>
              </w:rPr>
              <w:t xml:space="preserve">1</w:t>
            </w:r>
            <w:r w:rsidR="00000000" w:rsidRPr="00000000" w:rsidDel="00000000">
              <w:rPr>
                <w:rtl w:val="0"/>
              </w:rPr>
              <w:t xml:space="preserve">6. apakšpunktā un nepieciešamības gadījumā cituviet svītrot atsauces uz šo noteikumu 25. punktu, ņemot vērā, ka 25. punktā nav norādīti </w:t>
            </w:r>
            <w:r w:rsidR="00000000" w:rsidRPr="00000000" w:rsidDel="00000000">
              <w:rPr>
                <w:i w:val="1"/>
                <w:rtl w:val="0"/>
              </w:rPr>
              <w:t xml:space="preserve">de minimis</w:t>
            </w:r>
            <w:r w:rsidR="00000000" w:rsidRPr="00000000" w:rsidDel="00000000">
              <w:rPr>
                <w:rtl w:val="0"/>
              </w:rPr>
              <w:t xml:space="preserve"> atbalsta nosacījumi, bet gan izslēgšanas kritēriji, uz kuriem jau norādīts šo noteikumu 20.6. un 20.</w:t>
            </w:r>
            <w:r w:rsidR="00000000" w:rsidRPr="00000000" w:rsidDel="00000000">
              <w:rPr>
                <w:vertAlign w:val="superscript"/>
                <w:rtl w:val="0"/>
              </w:rPr>
              <w:t xml:space="preserve">1</w:t>
            </w:r>
            <w:r w:rsidR="00000000" w:rsidRPr="00000000" w:rsidDel="00000000">
              <w:rPr>
                <w:rtl w:val="0"/>
              </w:rPr>
              <w:t xml:space="preserve">5.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6. tā atbilst šo noteikumu 5. nodaļā minētajiem komercdarbības atbalsta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Projekta vadības izmaksas, tai skaitā darba devēja valsts sociālās apdrošināšanas obligātās iemaksas, nepārsniedz 20 % no Atveseļošanās noturības mehānisma plāna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noteikumu projekta 14. punktā svītrot norādi uz Atveseļošanās noturības mehānisma plānu, jo minētais plāns (proti, Latvijas Atveseļošanas un noturības mehānisma plāns) ir apstiprināts ar rīkojumu un līdz ar to atbilstoši indivīda pamattiesībām zināt savas tiesības noteikumu projektā nav pieļaujams noteikt privātpersonai ierobežojumu, kura apmērs nav noteikts ārējā normatīvajā aktā. Papildus norādām, ka arī cituviet noteikumu projektā ietvertas atsauces uz Atveseļošanas fonda finansējumu (atbilstoši atrunātajam saīsinājumam), nevis Atveseļošanās noturības mehānisma plāna finansējumu, tādēļ nepieciešams nodrošināt vienveidīgu izteiksmi, ja ar minēto finansējumu ir saprotams viens un tas pats.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Projekta vadības izmaksas, tai skaitā darba devēja valsts sociālās apdrošināšanas obligātās iemaksas, nepārsniedz 20 % no kopējā projektam piešķirtā Atveseļošanas fonda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saimnieciskās darbības veicējs vienlaikus darbojas vienā vai vairākās nozarēs vai veic citas darbības sfērās, kas neietilpst Komisijas regulas Nr. 2023/2831 darbības jomā, tas nodrošina šo nozaru darbību vai izmaksu nodalīšanu saskaņā ar Komisijas regulas Nr. ​2023/2831 1. panta 2. punktu. Ja gala labuma guvējs un finansējuma saņēmējs darbojas kādā no šo noteikumu </w:t>
            </w:r>
            <w:r w:rsidR="00000000" w:rsidRPr="00000000" w:rsidDel="00000000">
              <w:rPr>
                <w:rtl w:val="0"/>
              </w:rPr>
              <w:t xml:space="preserve">80. </w:t>
            </w:r>
            <w:r w:rsidR="00000000" w:rsidRPr="00000000" w:rsidDel="00000000">
              <w:rPr>
                <w:rtl w:val="0"/>
              </w:rPr>
              <w:t xml:space="preserve">punktā</w:t>
            </w:r>
            <w:r w:rsidR="00000000" w:rsidRPr="00000000" w:rsidDel="00000000">
              <w:rPr>
                <w:rtl w:val="0"/>
              </w:rPr>
              <w:t xml:space="preserve"> minētajām nozarēm vai darbībām, komercdarbības atbalstu drīkst piešķirt tad, ja atbalsta pretendents nodrošina darbību nodalīšanu vai uzskaites nodalīšanu, lai darbības izslēgtajās nozarēs negūst labumu no de minimis atbalsta, ko piešķir saskaņā ar noteikumiem. Ja gala labuma guvējs un finansējuma saņēmējs veic darbības, kas minētas regulas 2023/2831 1.panta 1.punkta “e” vai “f” apakšpunktos, atbalstu piešķirt nedrīkst.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21. punktu, nodrošinot precīzu attiecīgo regulu prasību ieviešanu un juridiskās tehnikas prasībām atbilstošu regulējumu. Tostarp lūdzam nodrošināt, ka minētā norma nedublējas ar šo noteikumu 80. punktā ietverto regulējumu, tiek lietota konsekventa terminoloģija (piem., noteikumu projektā nav cituviet norādīts uz atbalsta pretendentu) kā arī precīzi tiek atspoguļots, kas ir nodalāms - darbība vai uzskaite, vai darbība vai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finansējuma saņēmējs vai gala labuma guvējs vienlaikus darbojas gan kādā no nozarēm, kas minētas Komisijas regulas Nr. 2023/2831 1. panta 1. punkta "a", "b", "c" vai "d" apakšpunktā, gan vienā vai vairākās citās nozarēs, uz kurām attiecas šīs regulas darbības joma, tas nodrošina šo nozaru darbību vai izmaksu nodalīšanu saskaņā ar Komisijas regulas Nr. 2023/2831 1. panta 2. punktu, nodrošinot, ka darbības nozarēs, kuras ir izslēgtas no šīs regulas darbības jomas, negūst labumu no de minimis atbalsta, ko piešķir saskaņā ar Komisijas regulu Nr. 2023/2831. Ja gala labuma guvējs un finansējuma saņēmējs vienlaikus darbojas kādā no šo noteikumu 80. punktā (izņemot 80.1. apakšpunktā) minētajām nozarēm vai darbībām, gan vienā vai vairākās citās nozarēs, komercdarbības atbalstu drīkst piešķirt tad, ja finansējuma saņēmējs nodrošina darbību vai izmaksu nodalīšanu, lai darbības izslēgtajās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investīcijas pirmās kārtas ietvaros drīkst iesniegt vienu projekta iesniegumu. Otrās atlases kārtas ietvaros projekta iesniedzējs drīkst iesniegt vairākus projekta iesniegumus.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konsekventi atsaukties uz atlases kārtām, nevis vienkārši pirmo vai otro kārtu, nepieciešamības gadījumā atrunājot atbilstošu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Atbalsts gala labuma guvējam un finanšu saņēmējam netiek sniegts, ja tas darbojas: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Atbalsts gala labuma guvējam un finansējuma saņēmējam netiek sniegts, ja tas darbojas:"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w:t>
    </w:r>
    <w:r>
      <w:br/>
    </w:r>
    <w:r w:rsidR="00000000" w:rsidRPr="00000000" w:rsidDel="00000000">
      <w:rPr>
        <w:rtl w:val="0"/>
      </w:rPr>
      <w:t xml:space="preserve">Izdrukāts 21.03.2024. 20.19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w:t>
    </w:r>
    <w:r>
      <w:br/>
    </w:r>
    <w:r w:rsidR="00000000" w:rsidRPr="00000000" w:rsidDel="00000000">
      <w:rPr>
        <w:rtl w:val="0"/>
      </w:rPr>
      <w:t xml:space="preserve">Izdrukāts 21.03.2024. 20.19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Atzinumi_24-TA-111.docx</dc:title>
</cp:coreProperties>
</file>

<file path=docProps/custom.xml><?xml version="1.0" encoding="utf-8"?>
<Properties xmlns="http://schemas.openxmlformats.org/officeDocument/2006/custom-properties" xmlns:vt="http://schemas.openxmlformats.org/officeDocument/2006/docPropsVTypes"/>
</file>