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siltumuzņēmumu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Enerģētikas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Saskaņošanai nodotajā Likumprojekta redakcijā LSUA nav konstatējusi nozares darbību ietekmējošus nosacījumus. LSUA ieskatā Likumprojekta sarežģītās valodas un formulējumu dēļ ir grūti saprotams ne tikai grozījumu projekta mērķis, bet arī nav skaidri un nepārprotami uztverams, kāda ir piedāvājuma ietekme uz nozares darbu. Līdz ar to asociācija aicina pirms likumprojekta publiskošanas rūpīgi izvērtēt, vai sagatavotais priekšlikuma teksts ir skaidrs, nepārprotams, viennozīmīgs, viegli uztverams un pārskatāms un rada nepārprotamu izpratni par izmaiņām un sasniedzamo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Rutkovska (LSUA)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25.10.2024.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25.10.2024.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