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nesatur tiesību normas, kas nosaka personas vārda, uzvārda, personas koda, kontaktinformācijas, personas dzīvesvietas adreses un fakta, ka personai ir noteikta invaliditāte vai persona ir pensijas vecumā, apstrādi. Ievērojot, ka saskaņā ar Vispārīgās datu aizsardzības regulas 6. panta 3. punktu apstrādājamais personu datu apjoms ir norādāms tiesību aktā, aicinām papildināt projektu ar tiesību normu, kas nosaka, kura iestāde un kādā apjomā apstrādā personas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28.12.2024.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28.12.2024.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Atzinumi_24-TA-2837.docx</dc:title>
</cp:coreProperties>
</file>

<file path=docProps/custom.xml><?xml version="1.0" encoding="utf-8"?>
<Properties xmlns="http://schemas.openxmlformats.org/officeDocument/2006/custom-properties" xmlns:vt="http://schemas.openxmlformats.org/officeDocument/2006/docPropsVTypes"/>
</file>