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24-TA-1846: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29.8. nodrošina, ka visas preces un pakalpojumi tiks iepirkti atklātā, pārredzamā, nediskriminējošā un konkurenci nodrošinošā procedūrā, ievērojot publiskā iepirkuma procedūru regulējošos normatīvos aktus un, kur tas ir attiecināms, īsteno sociāli atbildīgus un inovatīvus publiskos iepirkumus, kā arī sekmē zaļā publiskā iepirkuma prasību ievērošanu atbilstoši normatīvajos aktos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29.8. apakšpunktu un ietvert tajā korektu atsauci uz normatīvajiem aktiem noteiktā jomā, ievērojot Ministru kabineta 2009. gada 3. februāra noteikumu Nr. 108 "Normatīvo aktu projektu sagatavošanas noteikumi" 137.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noteikumu projekta 21. punktā korekti atsaukties uz Eiropas Parlamenta un Padomes 2021. gada 24. 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ievērojot minēto Ministru kabineta noteikumu 172.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14.08.2024. 08.54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14.08.2024. 08.54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Atzinumi_24-TA-1846.docx</dc:title>
</cp:coreProperties>
</file>

<file path=docProps/custom.xml><?xml version="1.0" encoding="utf-8"?>
<Properties xmlns="http://schemas.openxmlformats.org/officeDocument/2006/custom-properties" xmlns:vt="http://schemas.openxmlformats.org/officeDocument/2006/docPropsVTypes"/>
</file>