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4.punktu, kurš nosaka, ka  “4. 2.4.1.2.i. investīciju īsteno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Nākamās paaudzes fiksēto un fiksēto bezvadu tīklu infrastruktūras ierīkošanai, kas nodrošinās piekļuvi platjoslas savienojumiem ar ļoti augstas veiktspējas tīklu, atvēlētais laika periods ir nepietiekams, jo izrīkošanas darbiem ir sezonāls raksturs. Reālie ierīkošanas darbi būs iespējami 2024.gada vasarā, 2025. gadā, bet 2026.gadā praktiski nav iespējami, jo rakšanas darbus var uzsākt maijā un līdz 30.06.2026. nav iespējams veikt izbūves darbus, dokumentācijas noformēšanu un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31.septembrim”.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15.11.2023.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15.11.2023.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