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24-TA-1470: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Bezmaksas emisijas kvotu piešķiršanas kārtība stacionāro tehnoloģisko iekārtu operatoriem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izziņā ietvertos skaidrojumus par projekta atbilstību Ministru kabineta pilnvarojumam ietvert anotācijā un tos papildināt, nodrošinot pilnīgu izpratni par 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kuras projekta normas izpilda likuma "Par piesārņojumu" 32.</w:t>
            </w:r>
            <w:r w:rsidR="00000000" w:rsidRPr="00000000" w:rsidDel="00000000">
              <w:rPr>
                <w:vertAlign w:val="superscript"/>
                <w:rtl w:val="0"/>
              </w:rPr>
              <w:t xml:space="preserve">24</w:t>
            </w:r>
            <w:r w:rsidR="00000000" w:rsidRPr="00000000" w:rsidDel="00000000">
              <w:rPr>
                <w:rtl w:val="0"/>
              </w:rPr>
              <w:t xml:space="preserve"> panta astotās daļas 9. punktu attiecībā uz </w:t>
            </w:r>
            <w:r w:rsidR="00000000" w:rsidRPr="00000000" w:rsidDel="00000000">
              <w:rPr>
                <w:u w:val="single"/>
                <w:rtl w:val="0"/>
              </w:rPr>
              <w:t xml:space="preserve">kārtību, kādā tiek iesniegti iesniegumi bezmaksas emisijas kvotu piešķiršanai;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kādu pilnvarojumu izpilda projekta 9.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kādu pilnvarojumu izpilda projekta VIII nodaļā ietvertās normas;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kā projekta 56. punkts par pārskaitījumu termiņu izpilda likuma “Par piesārņojumu” 32.</w:t>
            </w:r>
            <w:r w:rsidR="00000000" w:rsidRPr="00000000" w:rsidDel="00000000">
              <w:rPr>
                <w:vertAlign w:val="superscript"/>
                <w:rtl w:val="0"/>
              </w:rPr>
              <w:t xml:space="preserve">29</w:t>
            </w:r>
            <w:r w:rsidR="00000000" w:rsidRPr="00000000" w:rsidDel="00000000">
              <w:rPr>
                <w:rtl w:val="0"/>
              </w:rPr>
              <w:t xml:space="preserve"> panta trešās daļas 1. un 2. punktā ietvertos pilnvarojumus, kas saistīti ar darbībām emisijas vienību reģistrā vai to pārraudzību.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Izziņā ietvertie skaidrojumi nesniedz pilnīgas atbildes uz visiem sākotnēji uzdotajiem jautājumiem pilnvarojuma pilnīgas izpildes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ar šo projektu tiek izpildīta tikai daļa pilnvarojuma, piemēram, ja projekts nenosaka darbības ar emisijas kvotām un Kioto vienībām, iesakām šo pilnvarojuma daļu nepārrakstīt un nenorādīt projekta 1. punktā, to pamatojot un skaidrojot, kā (ar kādu tiesību aktu) tiek vai tiks izpildīts pilnvarojums pilnībā.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 veic pārraudzību darbībām emisijas vienību reģistrā un piekļuvi emisijas vienību reģistram, kā arī sadarbību ar citām iestādēm uzraudzības un kontroles nodrošināšanai.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projekta 1.13. apakšpunktu atbilstoši likuma "Par piesārņojumu" 32.</w:t>
            </w:r>
            <w:r w:rsidR="00000000" w:rsidRPr="00000000" w:rsidDel="00000000">
              <w:rPr>
                <w:vertAlign w:val="superscript"/>
                <w:rtl w:val="0"/>
              </w:rPr>
              <w:t xml:space="preserve">29</w:t>
            </w:r>
            <w:r w:rsidR="00000000" w:rsidRPr="00000000" w:rsidDel="00000000">
              <w:rPr>
                <w:rtl w:val="0"/>
              </w:rPr>
              <w:t xml:space="preserve"> pantā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 kārtību, kādā veic pārraudzību darbībām emisijas vienību reģistrā un piekļuvi emisijas vienību reģistram, kā arī sadarbību ar citām iestādēm uzraudzības un kontroles nodrošināšanai.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 klimatneitralitātes plānā norādīto starpposma mērķu un atskaites punktu sasniegšanu attiecībā uz laikposmu līdz 2025. gada 31. decembrim un pēc tam attiecībā uz katru laikposmu, kas beidzas katra piektā gada 31. decembrī, verificē saskaņā ar Komisijas 2018. gada 19. decembra Īstenošanas regulu (ES) 2018/2067 par datu verifikāciju un verificētāju akreditāciju saskaņā ar Eiropas Parlamenta un Padomes Direktīvu 2003/87/EK un Komisijas 2019. gada 31. oktobra Īstenošanas regulas (ES) 2019/1842  (turpmāk – regula 2019/1842) Nr. 3.b pantu;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 skaidrības nolūkos, iesakām redakcionāli precizēt projekta 14.2.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klimatneitralitātes plānā norādīto starpposma mērķu un atskaites punktu sasniegšanu attiecībā uz laikposmu līdz 2025. gada 31. decembrim un pēc tam attiecībā uz katru laikposmu, kas beidzas katra piektā gada 31. decembrī, verificē saskaņā ar Komisijas 2018. gada 19. decembra Īstenošanas regulu (ES) 2018/2067 par datu verifikāciju un verificētāju akreditāciju saskaņā ar Eiropas Parlamenta un Padomes Direktīvu 2003/87/EK un Komisijas 2019. gada 31. oktobra Īstenošanas regulas (ES) 2019/1842, </w:t>
            </w:r>
            <w:r w:rsidR="00000000" w:rsidRPr="00000000" w:rsidDel="00000000">
              <w:rPr>
                <w:u w:val="single"/>
                <w:rtl w:val="0"/>
              </w:rPr>
              <w:t xml:space="preserve">ar ko nosaka noteikumus Eiropas Parlamenta un Padomes Direktīvas 2003/87/EK piemērošanai attiecībā uz sīkāku kārtību, kā izdarāmi bezmaksas emisijas kvotu iedales pielāgojumi sakarā ar darbības līmeņa izmaiņām (turpmāk – regula Nr. 2019/1842) 3.b pantu</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Ar šo noteikumu spēkā stāšanos spēku zaudē Ministru kabineta 2021. gada 29. jūnija noteikumi Nr. 449 "Emisijas kvotu piešķiršanas kārtība stacionāro tehnoloģisko iekārtu operatoriem" (Latvijas Vēstnesis, 2021, 124. nr.).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59. punktu šādu apsvērumu dēļ. Ministru kabineta 2021. gada 29. jūnija noteikumu Nr. 449 "Emisijas kvotu piešķiršanas kārtība stacionāro tehnoloģisko iekārtu operatoriem" izdošanas tiesiskais pamats ir likuma "Par piesārņojumu" 32.</w:t>
            </w:r>
            <w:r w:rsidR="00000000" w:rsidRPr="00000000" w:rsidDel="00000000">
              <w:rPr>
                <w:vertAlign w:val="superscript"/>
                <w:rtl w:val="0"/>
              </w:rPr>
              <w:t xml:space="preserve">2</w:t>
            </w:r>
            <w:r w:rsidR="00000000" w:rsidRPr="00000000" w:rsidDel="00000000">
              <w:rPr>
                <w:rtl w:val="0"/>
              </w:rPr>
              <w:t xml:space="preserve"> panta astotā daļa (minētais pants iekļauts likuma "Par piesārņojumu" V</w:t>
            </w:r>
            <w:r w:rsidR="00000000" w:rsidRPr="00000000" w:rsidDel="00000000">
              <w:rPr>
                <w:vertAlign w:val="superscript"/>
                <w:rtl w:val="0"/>
              </w:rPr>
              <w:t xml:space="preserve">1</w:t>
            </w:r>
            <w:r w:rsidR="00000000" w:rsidRPr="00000000" w:rsidDel="00000000">
              <w:rPr>
                <w:rtl w:val="0"/>
              </w:rPr>
              <w:t xml:space="preserve"> nodaļā). Likuma "Par piesārņojumu" pārejas noteikumu 83. punkts paredz, ka šā likuma 1. panta pirmās daļas 3.</w:t>
            </w:r>
            <w:r w:rsidR="00000000" w:rsidRPr="00000000" w:rsidDel="00000000">
              <w:rPr>
                <w:vertAlign w:val="superscript"/>
                <w:rtl w:val="0"/>
              </w:rPr>
              <w:t xml:space="preserve">4</w:t>
            </w:r>
            <w:r w:rsidR="00000000" w:rsidRPr="00000000" w:rsidDel="00000000">
              <w:rPr>
                <w:rtl w:val="0"/>
              </w:rPr>
              <w:t xml:space="preserve">, 10.</w:t>
            </w:r>
            <w:r w:rsidR="00000000" w:rsidRPr="00000000" w:rsidDel="00000000">
              <w:rPr>
                <w:vertAlign w:val="superscript"/>
                <w:rtl w:val="0"/>
              </w:rPr>
              <w:t xml:space="preserve">4 </w:t>
            </w:r>
            <w:r w:rsidR="00000000" w:rsidRPr="00000000" w:rsidDel="00000000">
              <w:rPr>
                <w:rtl w:val="0"/>
              </w:rPr>
              <w:t xml:space="preserve">un 10.</w:t>
            </w:r>
            <w:r w:rsidR="00000000" w:rsidRPr="00000000" w:rsidDel="00000000">
              <w:rPr>
                <w:vertAlign w:val="superscript"/>
                <w:rtl w:val="0"/>
              </w:rPr>
              <w:t xml:space="preserve">5</w:t>
            </w:r>
            <w:r w:rsidR="00000000" w:rsidRPr="00000000" w:rsidDel="00000000">
              <w:rPr>
                <w:rtl w:val="0"/>
              </w:rPr>
              <w:t xml:space="preserve"> punkts, 32.</w:t>
            </w:r>
            <w:r w:rsidR="00000000" w:rsidRPr="00000000" w:rsidDel="00000000">
              <w:rPr>
                <w:vertAlign w:val="superscript"/>
                <w:rtl w:val="0"/>
              </w:rPr>
              <w:t xml:space="preserve">27</w:t>
            </w:r>
            <w:r w:rsidR="00000000" w:rsidRPr="00000000" w:rsidDel="00000000">
              <w:rPr>
                <w:rtl w:val="0"/>
              </w:rPr>
              <w:t xml:space="preserve"> panta septītā un astotā daļa, kā arī </w:t>
            </w:r>
            <w:r w:rsidR="00000000" w:rsidRPr="00000000" w:rsidDel="00000000">
              <w:rPr>
                <w:u w:val="single"/>
                <w:rtl w:val="0"/>
              </w:rPr>
              <w:t xml:space="preserve">V</w:t>
            </w:r>
            <w:r w:rsidR="00000000" w:rsidRPr="00000000" w:rsidDel="00000000">
              <w:rPr>
                <w:u w:val="single"/>
                <w:vertAlign w:val="superscript"/>
                <w:rtl w:val="0"/>
              </w:rPr>
              <w:t xml:space="preserve">1</w:t>
            </w:r>
            <w:r w:rsidR="00000000" w:rsidRPr="00000000" w:rsidDel="00000000">
              <w:rPr>
                <w:rtl w:val="0"/>
              </w:rPr>
              <w:t xml:space="preserve">, V</w:t>
            </w:r>
            <w:r w:rsidR="00000000" w:rsidRPr="00000000" w:rsidDel="00000000">
              <w:rPr>
                <w:vertAlign w:val="superscript"/>
                <w:rtl w:val="0"/>
              </w:rPr>
              <w:t xml:space="preserve">3</w:t>
            </w:r>
            <w:r w:rsidR="00000000" w:rsidRPr="00000000" w:rsidDel="00000000">
              <w:rPr>
                <w:rtl w:val="0"/>
              </w:rPr>
              <w:t xml:space="preserve"> un X </w:t>
            </w:r>
            <w:r w:rsidR="00000000" w:rsidRPr="00000000" w:rsidDel="00000000">
              <w:rPr>
                <w:u w:val="single"/>
                <w:rtl w:val="0"/>
              </w:rPr>
              <w:t xml:space="preserve">nodaļa</w:t>
            </w:r>
            <w:r w:rsidR="00000000" w:rsidRPr="00000000" w:rsidDel="00000000">
              <w:rPr>
                <w:rtl w:val="0"/>
              </w:rPr>
              <w:t xml:space="preserve"> un šā likuma 4. pielikums zaudē spēku vienlaikus ar Klimatnoturības un ekonomiskās ilgtspējas likuma spēkā stāšanos. Klimatnoturības un ekonomiskās ilgtspējas likums stājās spēkā 2025. gada 12. decembrī. Oficiālo publikāciju un tiesiskās informācijas likuma 9. panta piektā daļa paredz, ja spēku zaudē normatīvā akta izdošanas tiesiskais pamats (augstāka juridiska spēka tiesību norma, uz kuras pamata izdots cits normatīvais akts), tad spēku zaudē arī uz šā pamata izdotais normatīvais akts vai tā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anotācijas 4.1. apakšsadaļas skaidrojumu, ievērojot, ka šajā sadaļā skaidro konkrētā projekta ietekmi uz spēkā esošo tiesību normu sistēmu. Savukārt no sniegtā skaidrojuma netop viennozīmīgi skaidrs, kā šis projekts ietekmē un ir saistīts ar projektu 25-TA-241.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anotācijas 4.1. apakšsadaļā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aktu projektus, kuru izstrādāšanai paredzēts pilnvarojums projektā, saistīto tiesību aktu nosaukumu, pamatojumu un aprakstu, kā arī atbildīgo institūciju;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citus spēkā esošos (vai jau apstiprinātos) tiesību aktus, kuros jāizdara grozījumi vai kuri jāatzīst par spēku zaudējušiem (atceltiem) saistībā ar projektu, kā arī skaidro šādu izmaiņu nepieciešamību. Ja spēkā esošā tiesību akta atzīšana par spēku zaudējušu ir paredzēta izstrādātajā tiesību akta projektā, to norāda nevis šajā apakšpunktā, bet anotācijas 1. sadaļā. Ja nepieciešamie tiesību aktu projekti jau ir izsludināti Valsts sekretāru sanāksmē, norāda attiecīgās Valsts sekretāru sanāksmes datumu, protokola numuru un paragrāfu vai, ja nepieciešamie tiesību aktu projekti jau ir pieteikti TAP portālā, norāda projekta TA (ID) numuru.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izvērtēt projekta atbilstību Eiropas Savienības tiesību aktiem un sniegt pilnīgu, precīzu atbilstības atspoguļojumu. Vēršam uzmanību,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 anotācijas 1.3. apakšsadaļas un projektā ietvertajām atsaucēm uz regulu normām saprotama to prasību ieviešana;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w:t>
            </w:r>
            <w:r w:rsidR="00000000" w:rsidRPr="00000000" w:rsidDel="00000000">
              <w:rPr>
                <w:i w:val="1"/>
                <w:rtl w:val="0"/>
              </w:rPr>
              <w:t xml:space="preserve">Eiropas Parlamenta un Padomes 2023. gada 10. maija direktīvas (ES) 2023/959, ar ko groza Direktīvu 2003/87/EK, ar kuru nosaka sistēmu siltumnīcas efektu izraisošo gāzu emisijas kvotu tirdzniecībai Savienībā, un Lēmumu (ES) 2015/1814 par Savienības siltumnīcefekta gāzu emisijas kvotu tirdzniecības sistēmas tirgus stabilitātes rezerves izveidi un darbību,</w:t>
            </w:r>
            <w:r w:rsidR="00000000" w:rsidRPr="00000000" w:rsidDel="00000000">
              <w:rPr>
                <w:rtl w:val="0"/>
              </w:rPr>
              <w:t xml:space="preserve"> (turpmāk - Direktīva 2023/959) 1. panta 13. punkta “a” apakšpunktā izteiktā </w:t>
            </w:r>
            <w:r w:rsidR="00000000" w:rsidRPr="00000000" w:rsidDel="00000000">
              <w:rPr>
                <w:i w:val="1"/>
                <w:rtl w:val="0"/>
              </w:rPr>
              <w:t xml:space="preserve">Eiropas Parlamenta un Padomes 2003. gada 13. oktobra direktīvas 2003/87/EK, ar kuru nosaka sistēmu siltumnīcas efektu izraisošo gāzu emisijas kvotu tirdzniecībai Savienībā un groza Padomes Direktīvu 96/61/EK,</w:t>
            </w:r>
            <w:r w:rsidR="00000000" w:rsidRPr="00000000" w:rsidDel="00000000">
              <w:rPr>
                <w:rtl w:val="0"/>
              </w:rPr>
              <w:t xml:space="preserve"> (turpmāk - Direktīva 2003/87) 10.a panta 1. punkta sestā daļa neattiecas tikai uz Eiropas Komisiju (piemēram, nosacījumi par ieņēmumu izmantošanu). Savukārt, "</w:t>
            </w:r>
            <w:r w:rsidR="00000000" w:rsidRPr="00000000" w:rsidDel="00000000">
              <w:rPr>
                <w:i w:val="1"/>
                <w:rtl w:val="0"/>
              </w:rPr>
              <w:t xml:space="preserve">1. panta 23. punktā izteiktā 15. panta ceturtā daļa</w:t>
            </w:r>
            <w:r w:rsidR="00000000" w:rsidRPr="00000000" w:rsidDel="00000000">
              <w:rPr>
                <w:rtl w:val="0"/>
              </w:rPr>
              <w:t xml:space="preserve">" attiecas tikai uz Eiropas Komisiju;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norādot uz direktīvas normu pārņemšanu, jānorāda, kurā projekta vienībā tā pārņemta, piemēram, skaidrots, ka "</w:t>
            </w:r>
            <w:r w:rsidR="00000000" w:rsidRPr="00000000" w:rsidDel="00000000">
              <w:rPr>
                <w:i w:val="1"/>
                <w:u w:val="single"/>
                <w:rtl w:val="0"/>
              </w:rPr>
              <w:t xml:space="preserve">1. panta </w:t>
            </w:r>
            <w:r w:rsidR="00000000" w:rsidRPr="00000000" w:rsidDel="00000000">
              <w:rPr>
                <w:i w:val="1"/>
                <w:rtl w:val="0"/>
              </w:rPr>
              <w:t xml:space="preserve">13. punktā izteiktais 11. panta 2. punkts</w:t>
            </w:r>
            <w:r w:rsidR="00000000" w:rsidRPr="00000000" w:rsidDel="00000000">
              <w:rPr>
                <w:rtl w:val="0"/>
              </w:rPr>
              <w:t xml:space="preserve">" pārņemts likumā “Par piesārņojumu”;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ieviešot, pārņemot tiesību normas, kas paredz rīcības brīvību (piemēram, regulas 2019/1842 3b.panta 5. punkts), ir jāskaidro to izmantošanu un izmantošanas vai neizmantošanas apsvērumus.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5. sadaļu, izvērtējot, vai tiek korekti atspoguļota direktīvu pārņemšana, piemēram,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i w:val="1"/>
                <w:rtl w:val="0"/>
              </w:rPr>
              <w:t xml:space="preserve">Eiropas Komisijas 2019. gada 15. februāra Deleģētā</w:t>
            </w:r>
            <w:r w:rsidR="00000000" w:rsidRPr="00000000" w:rsidDel="00000000">
              <w:rPr>
                <w:i w:val="1"/>
                <w:u w:val="single"/>
                <w:rtl w:val="0"/>
              </w:rPr>
              <w:t xml:space="preserve"> lēmuma 2019/708,</w:t>
            </w:r>
            <w:r w:rsidR="00000000" w:rsidRPr="00000000" w:rsidDel="00000000">
              <w:rPr>
                <w:i w:val="1"/>
                <w:rtl w:val="0"/>
              </w:rPr>
              <w:t xml:space="preserve"> ar ko papildina Eiropas Parlamenta un Padomes Direktīvu 2003/87/EK, 2021.–2030. gada periodam nosakot sarakstu ar nozarēm un apakšnozarēm, kuras uzskatāmas par pakļautām oglekļa emisiju pārvirzes riskam</w:t>
            </w:r>
            <w:r w:rsidR="00000000" w:rsidRPr="00000000" w:rsidDel="00000000">
              <w:rPr>
                <w:rtl w:val="0"/>
              </w:rPr>
              <w:t xml:space="preserve"> </w:t>
            </w:r>
            <w:r w:rsidR="00000000" w:rsidRPr="00000000" w:rsidDel="00000000">
              <w:rPr>
                <w:u w:val="single"/>
                <w:rtl w:val="0"/>
              </w:rPr>
              <w:t xml:space="preserve">1. pants </w:t>
            </w:r>
            <w:r w:rsidR="00000000" w:rsidRPr="00000000" w:rsidDel="00000000">
              <w:rPr>
                <w:rtl w:val="0"/>
              </w:rPr>
              <w:t xml:space="preserve">par 2021.–2030. gadā oglekļa emisiju pārvirzes riskam pakļautām nozarēm un apakšnozarēm </w:t>
            </w:r>
            <w:r w:rsidR="00000000" w:rsidRPr="00000000" w:rsidDel="00000000">
              <w:rPr>
                <w:u w:val="single"/>
                <w:rtl w:val="0"/>
              </w:rPr>
              <w:t xml:space="preserve">tiek pārņemts projekta II nodaļā un 5. punktā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w:t>
            </w:r>
            <w:r w:rsidR="00000000" w:rsidRPr="00000000" w:rsidDel="00000000">
              <w:rPr>
                <w:i w:val="1"/>
                <w:rtl w:val="0"/>
              </w:rPr>
              <w:t xml:space="preserve">Eiropas Parlamenta un Padomes 2009.gada 23.aprīļa </w:t>
            </w:r>
            <w:r w:rsidR="00000000" w:rsidRPr="00000000" w:rsidDel="00000000">
              <w:rPr>
                <w:i w:val="1"/>
                <w:u w:val="single"/>
                <w:rtl w:val="0"/>
              </w:rPr>
              <w:t xml:space="preserve">Direktīvas 2009/29</w:t>
            </w:r>
            <w:r w:rsidR="00000000" w:rsidRPr="00000000" w:rsidDel="00000000">
              <w:rPr>
                <w:i w:val="1"/>
                <w:rtl w:val="0"/>
              </w:rPr>
              <w:t xml:space="preserve">/EK, ar ko Direktīvu 2003/87/EK groza, lai uzlabotu un paplašinātu Kopienas siltumnīcas efektu izraisošo gāzu emisiju kvotu tirdzniecības sistēmu,</w:t>
            </w:r>
            <w:r w:rsidR="00000000" w:rsidRPr="00000000" w:rsidDel="00000000">
              <w:rPr>
                <w:rtl w:val="0"/>
              </w:rPr>
              <w:t xml:space="preserve"> </w:t>
            </w:r>
            <w:r w:rsidR="00000000" w:rsidRPr="00000000" w:rsidDel="00000000">
              <w:rPr>
                <w:u w:val="single"/>
                <w:rtl w:val="0"/>
              </w:rPr>
              <w:t xml:space="preserve">1. panta 13. punktā izteiktais Direktīvas 2003/87 11.panta 3.punkts</w:t>
            </w:r>
            <w:r w:rsidR="00000000" w:rsidRPr="00000000" w:rsidDel="00000000">
              <w:rPr>
                <w:rtl w:val="0"/>
              </w:rPr>
              <w:t xml:space="preserve"> (aizliegums piešķirt bezmaksas kvotas iekārtām, kuru iekļaušanu noraidījusi Komisija),</w:t>
            </w:r>
            <w:r w:rsidR="00000000" w:rsidRPr="00000000" w:rsidDel="00000000">
              <w:rPr>
                <w:u w:val="single"/>
                <w:rtl w:val="0"/>
              </w:rPr>
              <w:t xml:space="preserve"> tiek pārņemts projekta 33. punktā (</w:t>
            </w:r>
            <w:r w:rsidR="00000000" w:rsidRPr="00000000" w:rsidDel="00000000">
              <w:rPr>
                <w:rtl w:val="0"/>
              </w:rPr>
              <w:t xml:space="preserve">operatora pienākums Valsts vides dienestam iesniegt verificēto klimatneitralitātes ziņojumu un tā verifikācijas ziņojumu).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izvērtēt, vai </w:t>
            </w:r>
            <w:r w:rsidR="00000000" w:rsidRPr="00000000" w:rsidDel="00000000">
              <w:rPr>
                <w:i w:val="1"/>
                <w:rtl w:val="0"/>
              </w:rPr>
              <w:t xml:space="preserve">Eiropas Parlamenta un Padomes 2018. gada 14. marta </w:t>
            </w:r>
            <w:r w:rsidR="00000000" w:rsidRPr="00000000" w:rsidDel="00000000">
              <w:rPr>
                <w:i w:val="1"/>
                <w:u w:val="single"/>
                <w:rtl w:val="0"/>
              </w:rPr>
              <w:t xml:space="preserve">Direktīvas (ES) 2018/410</w:t>
            </w:r>
            <w:r w:rsidR="00000000" w:rsidRPr="00000000" w:rsidDel="00000000">
              <w:rPr>
                <w:i w:val="1"/>
                <w:rtl w:val="0"/>
              </w:rPr>
              <w:t xml:space="preserve">, ar ko groza Direktīvu 2003/87/EK, lai sekmētu emisiju izmaksefektīvu samazināšanu un investīcijas mazoglekļa risinājumos, un Lēmumu (ES) 2015/1814,</w:t>
            </w:r>
            <w:r w:rsidR="00000000" w:rsidRPr="00000000" w:rsidDel="00000000">
              <w:rPr>
                <w:rtl w:val="0"/>
              </w:rPr>
              <w:t xml:space="preserve"> (turpmāk - Direktīva 2018/410) </w:t>
            </w:r>
            <w:r w:rsidR="00000000" w:rsidRPr="00000000" w:rsidDel="00000000">
              <w:rPr>
                <w:u w:val="single"/>
                <w:rtl w:val="0"/>
              </w:rPr>
              <w:t xml:space="preserve">pārņemšana atspoguļota pilnīgi</w:t>
            </w:r>
            <w:r w:rsidR="00000000" w:rsidRPr="00000000" w:rsidDel="00000000">
              <w:rPr>
                <w:rtl w:val="0"/>
              </w:rPr>
              <w:t xml:space="preserve">. Piemēram, secināms, ka "1. panta 14. punkta “m” apakšpunktā izteiktais 10.a panta 20. apakšpunkts" tiek pilnībā pārņemts tikai ar projekta 37. punktu, jo saturiski domājams saistīts arī ar 38.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24-TA-1470</w:t>
    </w:r>
    <w:r>
      <w:br/>
    </w:r>
    <w:r w:rsidR="00000000" w:rsidRPr="00000000" w:rsidDel="00000000">
      <w:rPr>
        <w:rtl w:val="0"/>
      </w:rPr>
      <w:t xml:space="preserve">Izdrukāts 06.05.2026. 17.24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24-TA-1470</w:t>
    </w:r>
    <w:r>
      <w:br/>
    </w:r>
    <w:r w:rsidR="00000000" w:rsidRPr="00000000" w:rsidDel="00000000">
      <w:rPr>
        <w:rtl w:val="0"/>
      </w:rPr>
      <w:t xml:space="preserve">Izdrukāts 06.05.2026. 17.24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Atzinumi_24-TA-1470.docx</dc:title>
</cp:coreProperties>
</file>

<file path=docProps/custom.xml><?xml version="1.0" encoding="utf-8"?>
<Properties xmlns="http://schemas.openxmlformats.org/officeDocument/2006/custom-properties" xmlns:vt="http://schemas.openxmlformats.org/officeDocument/2006/docPropsVTypes"/>
</file>