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saskaņojot tiesību akta projektu, tika izteikusi iebildumu attiecībā uz tiesību akta projekta anotācijas 3. sadaļas 6.1. un 6.2. apakšpunktos ietverto informāciju - attiecībā uz 6.1. apakšpunktu atsaucoties uz vēstuli, kas tika nosūtīta Labklājības ministrijai ar izvērtējumu par 2024. gadā piemēroto valsts nodevu, un vēršot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3. sadaļas 6.1. apakšpunktā norādīts, ka "[…] ieņēmumi no valsts nodevas par īpašumtiesību nostiprināšanu zemesgrāmatā varētu samazināties par 13 702 euro gadā. </w:t>
            </w:r>
            <w:r w:rsidR="00000000" w:rsidRPr="00000000" w:rsidDel="00000000">
              <w:rPr>
                <w:b w:val="1"/>
                <w:rtl w:val="0"/>
              </w:rPr>
              <w:t xml:space="preserve">Tomēr, ņemot vērā, ka citas Tieslietu ministrijas iekasētās valsts nodevas varētu tikt iekasētas lielākā apmērā, nekā plānots, minētās izmaiņas neradīs ietekmi uz kopējiem valsts budžeta ieņēmumiem.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 2025. gada 4. augustā, tika sniegusi Labklājības ministrijai informāciju (vēstule ar reģ. Nr.1-13.8/2382), ka, citastarp, attiecībā uz zemesgrāmatu nodevām un tiesu maksas pakalpojumiem - saskaņā ar ministrijas rīcībā esošo informāciju, 2024. gadā samazināta valsts nodevas likme par īpašuma tiesību nostiprināšanu zemesgrāmatā tika piemērota 1 868 gadījumos, kas atbilst aptuveni 3 % no kopējā Goda ģimeņu skaita uz 2024. gada 31. decembri (60 554 ģimenes, saskaņā ar Labklājības ministrijas datiem). Kopējā šajā periodā sniegtā atbalsta summa bija 1 505 593 euro, kas vidēji ir 806 euro uz vienu piemērošanas gadījumu. Ja saglabāsies līdzšinējā samazinātās nodevas piemērošanas proporcija (aptuveni 3 %), var prognozēt aptuveni 17 papildu gadījumus, kuros tiktu piemērota samazināta valsts nodevas likme par īpašuma tiesību nostiprināšanu zemesgrāmatā. Šādā gadījumā valsts budžeta ieņēmumi varētu samazināties par aptuveni 13 702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19. februāra noteikumu Nr. 96 "Noteikumi par tiesas sniegtajiem maksas pakalpojumiem" 5.1.6. apakšpunkts paredz, ka no samaksas par rajonu (pilsētu) tiesu, apgabaltiesu un Augstākās tiesas sniegto maksas pakalpojumu atbrīvo daudzbērnu ģimenes vecākus. No Valsts vienotās datorizētās zemesgrāmatas (turpmāk – VVDZ) datu bāzes nav iespējams iegūt informāciju, lai precīzi noteiktu, cik gadījumos un kādā apmērā Goda ģimenēm piemērots atbrīvojums par tiesas sniegtajiem maksas pakalpojumiem, jo VVDZ datu bāze satur apkopotu informāciju par visiem atbrīvojuma piemērošanas pamatiem kopumā, tostarp personas ar invaliditāti, politiski represētās personas un citas kategorijas, tādēļ atsevišķi gadījumi pēc konkrēta pamatojuma nav identificējami. Vienlaikus Tiesu informatīvās sistēmas dati liecina, ka 2024. gadā izrakstītajiem rēķiniem nav piemērots atbrīvojums no tiesas sniegtajiem maksas pakalpojumiem, pamatojoties uz minētā atbrīvojuma pamatu. Kopumā 2024. gadā tika reģistrēti 66 atbrīvojumi no tiesu sniegtajiem maksas pakalpojumiem par kopējo summu 816 euro, kas vidēji ir 12,36 euro uz vienu atbalsta gadījumu. Ņemot vērā, ka nav iespējams precīzi identificēt, vai kāds no šiem gadījumiem attiecas uz Goda ģimenes apliecības turētāju, kā arī ņemot vērā salīdzinoši nelielo atbalsta apmēru vienam gadījumam, tiek pieņemts, ka Goda ģimenes statusa paplašināšana būtiski neietekmēs valsts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Labklājības ministrijai sniegto informāciju, secināts, ka tieslietu nozarē kopējā prognozētā ietekme uz valsts budžetu ir vērtējama kā neliela un ieņēmumu samazinājums varētu sasniegt aptuveni 13 702 euro gadā. Nepieciešamo finansējumu iespējams segt no esošajiem valsts budžeta līdzekļiem vai paredzēt nākamā gada budžeta plānošanas procesā kā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  Labklājības ministrijai netika pausts viedoklis, ka citas valsts nodevas varētu tikt iekasētas lielākā apjomā. Līdz ar to lūdzam anotācijas sadaļu attiecīgi precizēt (dzēst informāciju par nodevas iekasēšanu lielākā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tiesību akta anotāciju, secināms, ka Labklājības ministrija izteikto iebildumu atzīmējusi kā vērā ņemtu, tomēr precizējusi anotāciju tikai daļā par tās 3. sadaļas 6.2. apakšpunktu, vienlaikus 6.1. apakšpunktā minētā informācija nav labota. Atbilstoši atkārtoti lūdzam precizēt arī 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Ābols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08.04.2026.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08.04.2026.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Atzinumi_25-TA-1877.docx</dc:title>
</cp:coreProperties>
</file>

<file path=docProps/custom.xml><?xml version="1.0" encoding="utf-8"?>
<Properties xmlns="http://schemas.openxmlformats.org/officeDocument/2006/custom-properties" xmlns:vt="http://schemas.openxmlformats.org/officeDocument/2006/docPropsVTypes"/>
</file>