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mērķis ir veikt pētījumus, lai gūtos rezultātus izmantotu azartspēļu jomas normatīvo aktu pilnveidošanai, kas mazinātu azartspēļu spēlēšanas risku iestāšanos personai un ar to saistītās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pasākuma mērķa definīciju, ņemot vērā, ka pasākumā tiks veikti ne tikai pētījumi, bet arī noteikumu projekta 18.punktā norādītie veselības veicināšanas un slimību profilakses pasākumi, kā arī specifiskā atbalsta mērķa rezultāta rādītājs ir iedzīvotāju skaits, kuri pēdējā gada laikā veselības apsvērumu dēļ Eiropas Sociālā fonda Plus rīkoto pasākumu ietekmē ir mainījuši uztura un citus dzīvesveida paradumus, nodrošinot, ka uz 2029. gada 31. decembri sasniegta rādītāja vērtība 50 000 iedzīvotāji, nevis veikto pētījumu skaits.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paredzēt attiecināmās izmaksas HP īstenošanai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veselības veicināšanas pasākumu piekļūstamību, būs nepieciešamas ekspertu, kas pārstāv personu ar invaliditāti intereses, konsultācijas, aprīkojums vides piekļūstamības nodrošināšnai - piemēram, pandusu, pacēlāju, indukcijas cilpu noma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vides piekļūstamības ekspertu konsultāciju pakalpojumu izmaksas, pandusu, pacēlāju un indukcijas cilpu noma, ja tas ir nepieciešams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Īstenojot projektu, finansējuma saņēmējs un tā sadarbības partneris izvēlas preču piegādātājus un pakalpojumu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noteikumos normu, ka tiek atbalstīts arī sociāli atbildīgs publiskais iepirkums. Skaidrojam, ka sociāli atbildīgs publiskais iepirkums ļauj līgumslēdzējām iestādēm ņemt vērā dažādus sociālos apsvērumus, piemēram, sociālo integrāciju, darba standartus, dzimumu līdztiesību un ētisku tirdzniecību, iekļaut īpašas prasības (piemēram, sociālās vai vidiskās) kā piešķiršanas kritērijus, ja izmanto labāko cenas un kvalitātes attiecību. Sociāli atbildīgi un ētikas kritērijiem atbilstoši iepirkumi palīdz valstij izpildīt tās starptautiski uzņamtās saistības, kā arī stimulē uzņēmējus pielikt pūles, lai panāktu, ka ražošanas procesa un strādājošo darbinieku pārvaldība notiek atbildīgāk un ilgtspējīgāk.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īsteno vismaz trīs vispārīgas un vismaz trīs specifiskas darbības, kā arī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horizontālā principa “Vienlīdzība, iekļaušana, nediskriminācija un pamattiesību ievērošana” ieviešanas uzraudzību un atbilstoši vadlīnijās [1] noteiktajam, lūdzam papildināt noteikumu projektu ar  horizontālā principa “Vienlīdzība, iekļaušana, nediskriminācija un pamattiesību ievērošana” rādītāja definīciju, atbilstoši projekta vērtēšanas kritēriju metodikā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 rakstura pasākumi par dzimumu līdztiesības, personu ar invaliditāti vienlīdzīgu iespēju, vecuma nediskriminācijas, etniskās u.c. piederības un pamattiesību jautājumiem (piemēram, izstrādājot apmācību programmu saturu, plānojot komunikācijas aktivitātes, organizējot informatīvus pasākumus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datus par pētījuma  par procesu atkarību (azartspēļu, sociālo mediju, videospēļu atkarība) izplatību Latvijas iedzīvotāju vidū un to ietekmējošiem riska faktoriem rezultātiem un statistiku dalījumā pēc dzimuma.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dzimumu un vecumu aspektu, kā arī citus iespējamos raksturojumus (piemēram, etniskā piederība, izglītība, nodarbinātība u.c.) ir nepieciešams iekļaut arī plānotajos pētījumos.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veselības pētījumi (spēlētāju pazīmju definēšana, indicēto profilakšu programmas, azartspēļu ietekme uz videospēlēm, azartspēļu un izložu reklāmas ierobežojumu efektivitāte, motivācija iesaistīties nelicencētās azartspēlēs);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pētījumu satura tvērumu ar šādiem aspektiem: reklāmu ietekme uz azartspēļu un izložu dalībnieku un sabiedrības paradumiem, azartspēļu un izložu ietekme uz tautsaimniecību, azartspēļu un ietekme uz sabiedrības veselību, attiecībām ģimenē un sociālo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05.12.2023.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05.12.2023.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Atzinumi_23-TA-2835.docx</dc:title>
</cp:coreProperties>
</file>

<file path=docProps/custom.xml><?xml version="1.0" encoding="utf-8"?>
<Properties xmlns="http://schemas.openxmlformats.org/officeDocument/2006/custom-properties" xmlns:vt="http://schemas.openxmlformats.org/officeDocument/2006/docPropsVTypes"/>
</file>