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2.1.3. specifiskā atbalsta mērķa "Veicināt pielāgošanos klimata pārmaiņām, risku novēršanu un noturību pret katastrofām"  2.1.3.3. pasākuma "Katastrofu risku mazināšanas pasākumi" ceturtās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Projekta atbalstāmās darbības un attiecināmās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horizontālā principa "Vienlīdzība, iekļaušana, nediskriminācija un pamattiesību ievērošana" (HP VINPI) īstenošanu, aicinām noteikumu projektā paredzēt izmaksas HP VINPI darbību īstenošanai. Šādas izmaksas var rasties, piemēram, lai nodrošinātu vides piekļūstamības ekspertu konsultācijas vai nodrošinātu informācijas piekļūstamību (zīmju valodas tulku un vieglās valodas tulkošanas pakalpojumu izmaksas, subtitrēšanas un reāllaika transkripcijas pakalpojumu izmaksas u.c.).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horizontālā principa "Vienlīdzība, iekļaušana, nediskriminācija un pamattiesību ievērošana" rādītāja "Objektu skaits, kuros ERAF/KF ieguldījumu rezultātā ir nodrošināta vides un informācijas pieejamība"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HP rādītāja redakciju, ņemot vērā izmaiņas vadlīnijās "Vienlīdzība, iekļaušana, nediskriminācija un pamattiesību ievērošana” vadlīnijas īstenošanai un uzraudzībai (2021-2027)” [1]. Grozījumi attiecas uz projektu iesniegumu atlasēm, kuras ir izsludinātas pēc 2025. gada 5. marta.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https://www.lm.gov.lv/lv/vadlinijas-horizontala-principa-vienlidziba-ieklausana-nediskriminacija-un-pamattiesibu-ieverosana-istenosanai-un-uzraudzibai-2021-2027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horizontālā principa "Vienlīdzība, iekļaušana, nediskriminācija un pamattiesību ievērošana" rādītāja "Objektu, kuros ir nodrošināta vides un informācijas piekļūstamība, skaits"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Černiševa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papildināt sadaļu ar horizontālā principa "Vienlīdzība, iekļaušana, nediskriminācija un pamattiesību ievērošana" (HP VINPI) specifisko darbību piemēriem, ar kuru īstenošanu ir iespējama MK noteikumu 24.2. apakšpunktā noteiktā HP VINPI rādītāja sasniegšana (</w:t>
            </w:r>
            <w:r w:rsidR="00000000" w:rsidRPr="00000000" w:rsidDel="00000000">
              <w:rPr>
                <w:i w:val="1"/>
                <w:rtl w:val="0"/>
              </w:rPr>
              <w:t xml:space="preserve">lūdzu skatīt piedāvāto redakciju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izvērtēt, vai HP VINPI vispārīgā darbība "sabiedrības informēšanas kampaņu un pasākumu saturs tiks rūpīgi izvērtēts, lai novērstu jebkādas aizskarošas vai aizspriedumus uzturošas informācijas izplatīšanu sabiedrībai" ir atbilstoša un izriet no pasākuma satura, un, ja nepieciešams, dzēst šo HP darbību.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Specifisko HP VINPI darbību piemēri: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plānojot būves dizainu, tiks ņemts vērā daudzveidības un iekļaušanas princips, balstoties uz cilvēku ar funkcionēšanas ierobežojumiem vajadzībām ne vien uz fizisku piekļūšanu būvei, bet arī uz specifiskām vajadzībām attiecībā uz būves noformējumu, lietojamību un funkciju (</w:t>
            </w:r>
            <w:r w:rsidR="00000000" w:rsidRPr="00000000" w:rsidDel="00000000">
              <w:rPr>
                <w:i w:val="1"/>
                <w:rtl w:val="0"/>
              </w:rPr>
              <w:t xml:space="preserve">atbilstošais rādītājs VINPI_12, obligātais, noteikts MKN</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nodrošināti konsultatīva rakstura pasākumi par vides un informācijas, aprīkojuma, informācijas tehnoloģiju risinājumu piekļūstamību personām ar dažādiem funkcionēšanas ierobežojumiem  (attiecīgi pievienojot dokumentus, piem. konsultāciju protokolus u.c.) (</w:t>
            </w:r>
            <w:r w:rsidR="00000000" w:rsidRPr="00000000" w:rsidDel="00000000">
              <w:rPr>
                <w:i w:val="1"/>
                <w:rtl w:val="0"/>
              </w:rPr>
              <w:t xml:space="preserve">atbilstošais rādītājs VINPI_18, projekta iesniedzējs var izvēlēties papildus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informētu 2.1.3.3. pasākuma projekta iesnieguma sagatavotājus par horizontālā principa "Vienlīdzība, iekļaušana, nediskriminācija un pamattiesību ievērošana" (HP VINPI) īstenošanu, lūdzam papildināt ar informāciju par minimālajām prasībām attiecībā uz HP VINPI.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netieša ietekme uz horizontālo principi "Vienlīdzība, iekļaušana, nediskriminācija un pamattiesību ievērošana" (HP VINPI).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Labklājības ministrijas ierosinātos grozījumus  HP VINPI vadlīnijās (12.05.2025.) attiecībā uz noteiktajām prasībām projektos, pasākumos ar netiešu ietekmi uz HP VINPI ir jāparedz (minimālās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vismaz 2 vispārīgas HP VINPI darbības;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vismaz 1 specifiska HP VINPI darbība;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jānosaka vismaz 1 projekta HP VINPI  rādītājs (definēts MKN).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iesniegumā ir arī  jāsniedz vispārīgo un specifisko HP VINPI darbību pamatojums (KPVIS), piemēram, kā HP darbība ir saistīta ar projekta konkrēto darbību, kādā veidā projekts īstenos HP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25-TA-305</w:t>
    </w:r>
    <w:r>
      <w:br/>
    </w:r>
    <w:r w:rsidR="00000000" w:rsidRPr="00000000" w:rsidDel="00000000">
      <w:rPr>
        <w:rtl w:val="0"/>
      </w:rPr>
      <w:t xml:space="preserve">Izdrukāts 19.05.2025. 16.29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25-TA-305</w:t>
    </w:r>
    <w:r>
      <w:br/>
    </w:r>
    <w:r w:rsidR="00000000" w:rsidRPr="00000000" w:rsidDel="00000000">
      <w:rPr>
        <w:rtl w:val="0"/>
      </w:rPr>
      <w:t xml:space="preserve">Izdrukāts 19.05.2025. 16.29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Atzinumi_25-TA-305.docx</dc:title>
</cp:coreProperties>
</file>

<file path=docProps/custom.xml><?xml version="1.0" encoding="utf-8"?>
<Properties xmlns="http://schemas.openxmlformats.org/officeDocument/2006/custom-properties" xmlns:vt="http://schemas.openxmlformats.org/officeDocument/2006/docPropsVTypes"/>
</file>