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mazemisiju transportlīdzeklis</w:t>
            </w:r>
            <w:r w:rsidR="00000000" w:rsidRPr="00000000" w:rsidDel="00000000">
              <w:rPr>
                <w:rtl w:val="0"/>
              </w:rPr>
              <w:t xml:space="preserve"> - transportlīdzeklis, kura galvenais mehāniskais dzinējspēks izmanto enerģiju no transportlīdzeklī glabātās elektroenerģijas, bet tam ir uzstādīts arī iekšdedzes dzinējs, un kopējās SEG emisijas ir līdz 50 g CO2/km atbilstoši pasaulē saskaņotās vieglo transportlīdzekļu testēšanas procedūras (WLTP) svērtajam kombinētajam ciklam.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minēto terminu, jo tas netiek lietots likumprojekta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Pašvaldības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 pašvaldības ceļa nodeva plānota kā valsts nodeva, ja saskaņā ar likumprojekta 18. pantu pašvaldība nosaka pašvaldības ceļu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10. panta pirmās daļas pirmo teikumu valsts nodevu objektus nosaka saskaņā ar likumiem, savukārt pašvaldību nodevu objektus — saskaņā ar šo likumu. Saskaņā ar likuma “Par nodokļiem un nodevām” 1. panta 3. punktu pašvaldības nodeva ir pašvaldības domes noteikts obligāts maksājums pašvaldības pamatbudžetā vai speciālajā budžetā šajā likumā paredzētajos gadījumos. Pašvaldības nodevas apmērs nav tiešā veidā saistīts ar pašvaldības institūcijas vai tās struktūrvienības veiktās darbības izmaksu segšanu. Turklāt likuma “Par nodokļiem un nodevām” 12. panta pirmās daļas ievaddaļa noteic, ka  vietējās pašvaldības domei ir tiesības Ministru kabineta noteikumos noteiktajā kārtībā savā administratīvajā teritorijā uzlikt pašvaldības nodevas. Pašvaldību nodevu uzlikšanas kārtību nosaka Ministru kabineta 2005. gada 28. jūnija noteikumi Nr. 480 "Noteikumi par kārtību, kādā pašvaldības var uzlikt pašvaldību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iebilst pret pašvaldības ceļu nodevas jautājuma regulēšanu šajā likumprojektā, ja likums “Par nodokļiem un nodevām” neparedz šādu pašvaldības nodevas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Ministru kabineta 2022. gada 2. novembra sēdes protokola Nr. 55 37.§ “Informatīvais ziņojums “Par pašvaldību saistošo noteikumu izdošanas pilnvarojumu”” (22-TA-407) 3. punktam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likumprojekta 18. panta devītajā daļā noteiktais daļā par Vides aizsardzības un reģionālās attīstības ministrijas kompetenci vērtēt pašvaldību saistošos noteikumus par pašvaldību nodevām ir regulēts Pašvaldību likuma 47. panta otrajā daļā, kā arī norādām, ka saskaņā ar Pašvaldību likuma 47. panta otro daļu citā likumā var noteikt citu ministriju, kas sniedz atzinumu par pašvaldību saistošajiem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ir tiesīga noteikt nodevu par ceļu lietošanu tās teritorijā kā arī diennakts stundas, piemēram satiksmes sastrēgumu laikā, kurās tiek lietoti ceļi.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pašvaldības ceļu nodevu, pašvaldība ņem vērā transportlīdzekļa emisiju līmeni, kā papildu kritēriju var ņemt vērā transportlīdzekļa radītā trokšņa līmeni vai transportlīdzekļa pilno masu.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pašvaldība, nosakot nodevu ņem vērā transportlīdzekļa radītās gaisu piesārņojošo vielu emisijas.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likmes noteikšana var veicināt gaisa kvalitātes uzlabošanos pilsētās. Turklāt šāda pieeja attiecībā uz iebraukšanas maksas vai sastrēgumstundas braukšanas maksas noteikšanu darbojas lielā daļā ES pilsētu.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pašvaldības ceļu nodevu, pašvaldība ņem vērā transportlīdzekļa radīto gaisu piesārņojošo vielu emisiju līmeni, kā papildu kritēriju var ņemt vērā transportlīdzekļa radītā trokšņa līmeni vai transportlīdzekļa pilno masu.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bezemisiju transportlīdzeklis </w:t>
            </w:r>
            <w:r w:rsidR="00000000" w:rsidRPr="00000000" w:rsidDel="00000000">
              <w:rPr>
                <w:rtl w:val="0"/>
              </w:rPr>
              <w:t xml:space="preserve">– transportlīdzeklis, kura galvenais mehāniskais dzinējspēks neizdala izplūdes gāzes vai citas piesārņojošas emisijas, kas atstāj negatīvo ietekmi uz vidi un cilvēku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Izplūdes gāzes sastāv no gaisu piesārņojošo vielu emisijām un siltumnīcefekta gāzu emisijām, tādēļ nav skaidrs, kādēļ jāmin termini, kuri nozīmē vienu un to pašu un dublējas savā starpā. Aicinām anotācijā paskaidrot, ka izplūdes gāzes sastāv no dažādu vielu emisijām (tai skaitā, CO, NO2, SO2, CO2, smalkajām daļiņām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bezemisiju transportlīdzeklis – transportlīdzeklis, kura galvenais mehāniskais dzinējspēks neizdala izplūdes gāzes v</w:t>
            </w:r>
            <w:r w:rsidR="00000000" w:rsidRPr="00000000" w:rsidDel="00000000">
              <w:rPr>
                <w:strike w:val="1"/>
                <w:rtl w:val="0"/>
              </w:rPr>
              <w:t xml:space="preserve">ai citas piesārņojošas emisijas</w:t>
            </w:r>
            <w:r w:rsidR="00000000" w:rsidRPr="00000000" w:rsidDel="00000000">
              <w:rPr>
                <w:rtl w:val="0"/>
              </w:rPr>
              <w:t xml:space="preserve">, kas atstāj negatīvu ietekmi uz vidi un cilvēku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23.04.2024.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23.04.2024.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