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5., 6., 7.,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vides norāde</w:t>
            </w:r>
            <w:r w:rsidR="00000000" w:rsidRPr="00000000" w:rsidDel="00000000">
              <w:rPr>
                <w:rtl w:val="0"/>
              </w:rPr>
              <w:t xml:space="preserve"> – apgalvojums vai paziņojums jebkādā formā, tostarp teksts, ilustrēts, grafisks vai simbolisks atveidojums kā, piemēram, marķējums, zīmols, komercprakses īstenotāja vai preces, pakalpojuma, preces ar digitāliem elementiem, digitālā pakalpojuma vai digitālā satura nosaukums saistībā ar tādu komercpaziņojumu, kas tiešā vai netiešā veidā norāda, ka precei, pakalpojumam, precei ar digitāliem elementiem, digitālajam pakalpojumam vai digitālajam saturam vai to kategorijām, zīmolam vai komercprakses īstenotājam ir pozitīva ietekme uz vidi vai, ka tiem nav ietekmes uz vidi, vai ka negatīvā ietekme uz vidi ir mazāka nekā citām precēm, pakalpojumiem, precēm ar digitāliem elementiem, digitālajiem pakalpojuma vai digitālajam saturam vai to kategorijām, zīmoliem vai komercprakses īstanotājiem, vai ka šī ietekme laika gaitā ir uzlabojusies, un šī norāde nav tieši piemērojamos Eiropas Savienības tiesību aktos vai valsts tiesību aktos jau noteikta kā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ilgtspējas marķējums</w:t>
            </w:r>
            <w:r w:rsidR="00000000" w:rsidRPr="00000000" w:rsidDel="00000000">
              <w:rPr>
                <w:rtl w:val="0"/>
              </w:rPr>
              <w:t xml:space="preserve">  – jebkura brīvprātīgi izvietota privāta vai publiska kvalitātes, uzticības vai cita veida līdzīga zīme, kuras mērķis ir popularizēt un izcelt preci, pakalpojumu, preci ar digitāliem elementiem, digitālo pakalpojumu vai digitālo saturu, procesu vai komercprakses īstenotāju, atsaucoties uz to vides vai sociālajiem raksturlielumiem, vai abiem, un šī zīme nav tieši piemērojamos Eiropas Savienības tiesību aktos vai valsts tiesību aktos jau noteikta kā obligāts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vispārināta vides norāde</w:t>
            </w:r>
            <w:r w:rsidR="00000000" w:rsidRPr="00000000" w:rsidDel="00000000">
              <w:rPr>
                <w:rtl w:val="0"/>
              </w:rPr>
              <w:t xml:space="preserve"> - jebkura rakstveidā vai mutvārdos, tostarp audiovizuālajos medijos sniegta vides norāde, ja tā jau nav ietverta citā ilgtspējas marķējumā, un ja konkrētās norādes apraksts nav skaidri un pamanāmi sniegts tajā pašā informācijas nesējā;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sertifikācijas shēma</w:t>
            </w:r>
            <w:r w:rsidR="00000000" w:rsidRPr="00000000" w:rsidDel="00000000">
              <w:rPr>
                <w:rtl w:val="0"/>
              </w:rPr>
              <w:t xml:space="preserve"> - trešās personas verifikācijas shēma, kura apliecina, ka prece, pakalpojums, prece ar digitāliem elementiem, digitālais pakalpojums vai digitālais saturs, process vai komercprakses īstenotājs atbilst tādām noteiktām prasībām, kuras atļauj izmantot atbilstīgu ilgtspējas marķējumu, un kuras noteikumi, tostarp shēmas prasības, ir publiski pieejamas un tās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shēma saskaņā ar taisnīgiem, pārredzamiem un nediskriminējošiem nosacījumiem ir pieejama visiem, kuri vēlas un spēj izpildīt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shēmas prasības izstrādā shēmas īpašnieks, konsultējoties ar jomas ekspertiem un ieinteresētajām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shēma paredz tiesības atsaukt vai apturēt komercprakses īstenotāja izmantoto ilgtspējas marķējumu, kā arī nosaka citas procedūras, kā rīkoties situācijas, kad netiek ievērotas shēmas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komercprakses īstenotāja atbilstība shēmas prasībām tiek uzraudzīta saskaņā ar objektīvu procedūru, ko veic trešā puse, kuras kompetence un neatkarība gan no komercprakses īstenotāja, gan no shēmas īpašnieka, un tā balstās uz pastāvošiem starptautiskiem, Eiropas Savienības vai valsts standartiem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atzīts izcils vides sniegums</w:t>
            </w:r>
            <w:r w:rsidR="00000000" w:rsidRPr="00000000" w:rsidDel="00000000">
              <w:rPr>
                <w:rtl w:val="0"/>
              </w:rPr>
              <w:t xml:space="preserve"> –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tieši piemērojamiem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patērējamā sastāvdaļa</w:t>
            </w:r>
            <w:r w:rsidR="00000000" w:rsidRPr="00000000" w:rsidDel="00000000">
              <w:rPr>
                <w:rtl w:val="0"/>
              </w:rPr>
              <w:t xml:space="preserve"> – jebkurš preces vai preces ar digitāliem elementiem komponents, kas tiek lietots atkārtoti un kas ir jāaizstāj vai jāpapildina, lai prece vai prece ar digitāliem elementiem darbotos, atbilstoši mērķim, kādam tā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termins "uzņēmums" saskaņošanas ietvaros aizstāts ar terminu "komercprakses īstenotājs". Saistībā ar minēto lūdzam izvērtēt, vai attiecīgajos gadījumos atbilstošāk nebūtu lietot terminu "saimnieciskās darbības veicējs" vai "komersants", ievērojot, ka Eiropas Parlamenta un Padomes 2024. gada 28. februāra direktīvā (ES) 2024/825, ar ko attiecībā uz patērētāju dalības veicināšanu zaļās pārkārtošanās procesā, nodrošinot viņiem labāku aizsardzību pret negodīgu praksi un viņu labāku informētību, groza Direktīvas 2005/29/EK un 2011/83/ES (turpmāk - direktīva Nr. 2024/825), termins "tirgotāji" (kas atbilst likumprojektā lietotajam terminam "komercprakses īstenotājs") tiek nodalīts no termina "uzņēmumi", kas pirmšķietami ir plašāks.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ietvaros tiek sniegta vides norāde saistībā ar turpmāko ar vidi saistīto sniegumu, ja netiek norādītas objektīvas, skaidras, publiski pieejamas un pārbaudāmas apņemšanās, kas ir izklāstītas detalizētā un reālistiskā īstenošanas plānā, kurā tostarp ir ietverti arī laikā ierobežoti un izmērāmi mērķrādītāji un citi būtiski elementi kā resursu piešķiršana, kas ir nepieciešami, lai sekmētu norādītā plāna īstenošanu, un šo plānu regulāri verificē neatkarīgs trešās puses eksperts, kurš konstatētos faktus dara pieejamus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komercprakses īstenotājs reklamē patērētājiem tādus ieguvumus, kuri nav saistīti ar kādām no preces, pakalpojuma, preces ar digitāliem elementiem, digitālā pakalpojuma, digitālā satura vai attiecīgā komercprakses īstenotāja iezīmēm, un kuri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pakalpojuma, preces ar digitāliem elementiem, digitālā pakalpojuma vai digitālā satura esamību, raksturu un galvenās īpašības, piemēram, to pieejamību; ieguvumus no preces, pakalpojuma, preces ar digitāliem elementiem, digitālā pakalpojuma vai digitālā satura; ar preci, pakalpojumu, preci ar digitāliem elementiem, digitālo pakalpojumu vai digitālo saturu saistītos riskus; preces, preces ar digitāliem elementiem, digitālā pakalpojuma vai digitālā satura darbību, sastāvu, piederumus, preces, pakalpojuma, preces ar digitāliem elementiem, digitālā pakalpojuma vai digitālā satura vides vai sociālos raksturlielumus un apritīguma aspektus kā ilgizturība, remontējamība vai reciklējamība, pēcpārdošanas apkalpošanu un sūdzību izskatīšanas kārtību; ražošanas un piegādes metodi un datumu; piegādes apstākļus; preces, pakalpojuma, preces ar digitāliem elementiem, digitālā pakalpojuma vai digitālā satura nolūku, lietošanu, daudzumu, specifikācijas, ģeogrāfisko vai komerciālo izcelsmi; paredzamos preces, pakalpojuma, preces ar digitāliem elementiem, digitālā pakalpojuma vai digitālā satura lietošanas rezultātus; preces, preces ar digitāliem elementiem, digitālā pakalpojuma vai digitālā satura testēšanas vai pārbaudes rezultātus vai citas būtiskas īpašības, kas ir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izziņas 4. punktā ietverto iebildumu atkārtoti lūdzam likumprojekta 2. pantā izslēgt vārdu "būtiski". Norādām, ka lai gan izziņā norādīts par minētā vārda izslēgšanu, faktiski attiecīgā izmaiņa nav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preces ar digitāliem elementiem, digitālā pakalpojuma, digitālā satura vai komercprakses īstenotāju, ja šī norāde attiecas tikai uz kādu konkrētu preces, pakalpojuma, preces ar digitāliem elementiem,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precei ar digitāliem elementiem,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precēm ar digitāliem elementiem,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preci ar digitāliem elementiem, digitālo pakalpojumu vai digitālo saturu, kurā ir iestrādāta tā ilgizturību ierobežojoša funkcija, kaut gan komercprakses īstenotājam ir pieejama informācija par attiecīgo funkciju un tās ietekmi uz produkta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vai precei ar digitāliem elementiem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vai preci ar digitāliem elementiem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vai precei ar digitāliem elementiem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vai preces ar digitāliem elementiem funkcionalitātes pasliktināšanos gadījumā, ja tiek izmantotas tādas patērējamās sastāvdaļas, rezerves daļas vai citi piederumi, kurus nenodrošina preces vai preces ar digitāliem elementiem sākotnējais ražotājs, vai ja sniedz patiesībai neatbilstošu informāciju par to, ka notiks šāda funkcionalitātes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ietvertā Negodīgas komercprakses aizlieguma likuma 11. panta 30. punktā paredzētais regulējums atbilstoši direktīvai attiecināms uz precēm, nevis produktiem. Attiecīgi lūdzam atbilstoši precizēt minēto punktu vai skaidrot likumprojekta anotācijā, kādēļ minēto punktu ir pamatoti attiecināt arī uz citiem produktiem, ne vien precēm.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izmanto tādu ilgtspējas marķējumu, kas nav balstīts uz sertifikācijas shēmu vai kuru nav piešķīrušas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sniedz vispārinātu vides norādi, nespējot pierādīt ar šo norādi saistītu atzītu izcilu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sniedz vides norādi attiecībā uz visu preces, pakalpojuma, preces ar digitāliem elementiem, digitālā pakalpojuma, digitālā satura vai komercprakses īstenotāju, ja šī norāde attiecas tikai uz kādu konkrētu preces, pakalpojuma, preces ar digitāliem elementiem, digitālā pakalpojuma vai digitālā satura aspektu vai kādu komercprakses īstenotāja specifisku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sniedz norādi, pamatojoties uz siltumnīcefekta gāzu emisiju kompensēšanu, ka, siltumnīcefekta gāzu emisiju ziņā, precei, pakalpojumam, precei ar digitāliem elementiem, digitālajam pakalpojumam vai digitālajam saturam ir neitrāla, samazināta vai pozitīva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norāda kā īpašu komercprakses īstenotāja piedāvājuma iezīmi tādas prasības, kas Eiropas Savienības tirgū jau ir noteiktas visām attiecīgajām precēm, precēm ar digitāliem elementiem, digitālajam pakalpojumam vai digitālajam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noklusē informāciju par to, ka programmatūras atjauninājums negatīvi ietekmēs preču ar digitāliem elementiem darbību vai digitālā satura vai digitālā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norāda programmatūras atjauninājumus precēm ar digitāliem elementiem, digitālajam saturam vai digitālajiem pakalpojumiem kā nepieciešamus, lai gan faktiski tie uzlabo tikai funkcionalitātes īpašības;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sniedz jebkādu komercpaziņojumu par preci, preci ar digitāliem elementiem, digitālo pakalpojumu vai digitālo saturu, kurā ir iestrādāta tā ilgizturību ierobežojoša funkcija, kaut gan komercprakses īstenotājam ir pieejama informācija par attiecīgo funkciju un tās ietekmi uz produkta ilgizturību;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sniedz patiesībai neatbilstošu informāciju par to, ka precei vai precei ar digitāliem elementiem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raksturo preci vai preci ar digitāliem elementiem kā tādu, ko ir iespējams remontēt, lai gan remonts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rosina patērētāju nomainīt vai iegādāties papildus patērējamās sastāvdaļas precei vai precei ar digitāliem elementiem ātrāk nekā tas ir nepieciešams kādu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noklusē informāciju par preces vai preces ar digitāliem elementiem funkcionalitātes pasliktināšanos gadījumā, ja tiek izmantotas tādas patērējamās sastāvdaļas, rezerves daļas vai citi piederumi, kurus nenodrošina preces vai preces ar digitāliem elementiem sākotnējais ražotājs, vai ja sniedz patiesībai neatbilstošu informāciju par to, ka notiks šāda funkcionalitātes pasliktināšanās.”;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likumprojektā konsekventu terminoloģiju, jo šobrīd no likumprojekta neizriet, vai ar terminu "produkti" saprotamas preces, preces ar digitāliem elementiem, digitālajie pakalpojumi un digitālais saturs. Attiecīgā gadījumā lūdzam, ja tas nepieciešams, likumprojektā atrunāt saīsinājumu "produkti", tādējādi vienlaikus arī atvieglojot likumprojekta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1.panta pirmās daļas 5., 6., 7., 8., 9., un 10.punkts, 9.panta pirmās daļas 5. un 6.punkts, 9.panta otrās daļas 1.punkta jaunā redakcija, 10.panta astotā daļa, kā arī 11.panta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 29., 30., 31., 32., 33. un 34.punkts stājās spēkā 2026.gada 27.septembrī.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viss likums, nevis atsevišķas tā normas stājas spēkā 2026. gada 27. septembrī, lūdzam precizēt atbilstoši Ministru kabineta 2009. gada 3. februāra noteikumu Nr. 108 "Normatīvo aktu projektu sagatavošanas noteikumi" 30.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stājās spēkā 2026.gada 27.septembrī."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7. punktā minēto lūdzam papildināt likumprojekta anotācijas 5.4. sadaļas 1. tabulu ar informāciju par direktīvas Nr. 2024/825 1. panta 1. punkta "b" apakšpunktā ietvertās grozītās direktīvas 2. panta pirmās daļas "o", "p", "r", "s" un "v" punkta, kā arī direktīvas Nr. 2024/825 2. panta 5. punkta (ciktāl attiecas uz dalībvalstīm) pārņemšanu nacionālajā tiesību sistēmā. Kā arī, ņemot vērā, ka šobrīd attiecīgie grozījumi Patērētāju tiesību aizsardzības likumā vēl nav stājušies spēkā, lūdzam minētajā tabulā attiecīgā gadījumā atsaukties uz minētā likuma grozījuma projektu, norādot tā identifikācijas numuru (piem., TAP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24-TA-1401</w:t>
    </w:r>
    <w:r>
      <w:br/>
    </w:r>
    <w:r w:rsidR="00000000" w:rsidRPr="00000000" w:rsidDel="00000000">
      <w:rPr>
        <w:rtl w:val="0"/>
      </w:rPr>
      <w:t xml:space="preserve">Izdrukāts 11.11.2024.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24-TA-1401</w:t>
    </w:r>
    <w:r>
      <w:br/>
    </w:r>
    <w:r w:rsidR="00000000" w:rsidRPr="00000000" w:rsidDel="00000000">
      <w:rPr>
        <w:rtl w:val="0"/>
      </w:rPr>
      <w:t xml:space="preserve">Izdrukāts 11.11.2024.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Atzinumi_24-TA-1401.docx</dc:title>
</cp:coreProperties>
</file>

<file path=docProps/custom.xml><?xml version="1.0" encoding="utf-8"?>
<Properties xmlns="http://schemas.openxmlformats.org/officeDocument/2006/custom-properties" xmlns:vt="http://schemas.openxmlformats.org/officeDocument/2006/docPropsVTypes"/>
</file>