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 sadaļā “Tiesību akta projekta ietekme uz valsts budžetu un pašvaldību budžetiem” ir norādīta pretrunīga informācija, jo vienlaikus tiek norādīts, ka projekts nerada ietekmi uz budžetu, bet tai pat laikā sadaļā “Cita informācija” ir minēts, ka Valsts izglītības informācijas sistēmas pilnveidei būs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3.sadaļā norādīto pretrunīgo informāciju, norādot konkrētu finansējuma apmēru un avotu, no kura tiks nodrošināta projekta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18.12.2025.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18.12.2025.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Atzinumi_25-TA-1552.docx</dc:title>
</cp:coreProperties>
</file>

<file path=docProps/custom.xml><?xml version="1.0" encoding="utf-8"?>
<Properties xmlns="http://schemas.openxmlformats.org/officeDocument/2006/custom-properties" xmlns:vt="http://schemas.openxmlformats.org/officeDocument/2006/docPropsVTypes"/>
</file>