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sadaļu ar izvērtējumu un pamatojumu par augstāk minētajiem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Ekonomikas ministrija izsaka iebildumu par FM virzīto reformu un sagatavotajiem tiesību aktu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 Lai pieņemtu lēmumu, ir jābūt skaidrai problēmai vai trūkumiem esošajā uzraudzības modelī, ko nepieciešams atrisināt, vai redzamiem ieguvumiem, ieviešot uzraudzības reformu. EM ieskatā nav ne viena, ne otra, jo tam nav pietiekama un datos balstīta pamatojuma.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LB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Kredītu starpnieki, kuriem, atbilstoši Kreditēšanas direktīvas prasībām no 2026.gada 20.novembra arī jābūt reģistrētiem.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LB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EM kategoriski iebilst, ka šajā projektu pakotnē netiek virzīti arī grozījumi LB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LB šo jauno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EM ieskatā problemātisks ir arī LB autonomās iestādes statuss. Šobrīd PTAC ir ekonomikas ministra pārraudzībā esoša tiešās pārvaldes iestāde. Nododot patērētāju tiesību aizsardzības politikas finanšu jomā īstenošanu LB, tā tiek izņemta no Ministru kabineta padotības un politiskās atbildības principiem. EM nebūs iespējams pārraudzīt šīs jomas īstenošanu LB.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EM ieskatā ir jārisina Moneyval identificētā problēma - PTAC un VID uzraudzības pārklāšanās NILLTPFN jomā, nevis jāveic visaptveroša reforma bez redzamiem un datos balstītiem ieguvumiem un ar riskiem patērētāju tiesību aizsardzības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nav saprotams, kā turpmāk tiks īstenota patērētāju tiesību aizsardzības politika, jo likumprojekts un saistītie tiesību akti paredz uzraudzības maiņu no Patērētāju tiesību aizsardzības centra uz Latvijas Banku, kas ir patstāvīga valsts iestāde, kas nav pakļauta Ministru kabinetam. Ja Ekonomikas ministrija saglabā šo politikas jomu, bet Latvijas Banka nodrošina uzraudzību (izdodot Latvijas Bankas noteikumus), tad nav skaidrs, kādā veidā tiks realizētas izmaiņas tiesību aktos, t.i., ja esošie Ministru kabineta noteikumi zaudēs spēku līdz ar likuma spēkā stāšanos un tiks izdoti Latvijas Bankas saistošie noteikumi, tad norādāms, ka Ekonomikas ministrija šo īstenot institucionāli nevarēs, jo Ekonomikas ministrijai nav tiesību izdot Latvijas Bankas noteikumus. Vienlaikus, ja šos noteikumus izstrādās Latvijas Banka, tad Ekonomikas ministrijai zūd politikas veidotāja pienākums. Turklāt, nav izprotams, kas notiks gadījumos, ja Latvijas Banka kā uzraugs un Ekonomikas ministrija kā politikas veidotājs nespēs vienoties par konkrētām noteikumu redakcijām. Esošajā kārtībā šādi gadījumi tiek virzīti uz izskatīšanu Valsts sekretāru sanāksmē vai Ministru kabineta komitejas sēdi.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patērētāju tiesību uzraudzības funkciju Latvijas Bankai, tiek sašaurināta Ministru kabinetam Satversmē piešķirtā kompetence valsts pārvaldes jomā. Ne Informatīvais ziņojums, ne Likumprojekti neskaidro, kāpēc patērētāju tiesību uzraudzībai finanšu jomā ir nepieciešama Latvijas Bankas autonomija. Projekts nesatur skaidrojumu, kādas problēmas šajā jomā ir šobrīd un attiecīgi pamatojums, kāpēc patērētāju tiesību aizsardzība finanšu jomā jāizslēdz no izpildvaras darbības jomas.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aicinām skaidrot, kā turpmāk tiks realizēta šī politikas īstenošana un uzraudzība. Tāpat lūdzam skaidrot, kāpēc esošajiem Ministru kabineta noteikumiem ir jāzaudē spēks un tie nevar turpināt darboties esošajā tiesību sistēmā, jo Latvijas Bankai Ministru kabineta noteikumi ir saistoši.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vai Latvijas Bankai ir tiesības izdot ārējos normatīvos aktus, kas attiecas ne tikai uz konkrētu subjektu loku, bet arī patērētājiem un trešajām pusēm.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w:t>
            </w:r>
            <w:r w:rsidR="00000000" w:rsidRPr="00000000" w:rsidDel="00000000">
              <w:rPr>
                <w:vertAlign w:val="superscript"/>
                <w:rtl w:val="0"/>
              </w:rPr>
              <w:t xml:space="preserve">5</w:t>
            </w:r>
            <w:r w:rsidR="00000000" w:rsidRPr="00000000" w:rsidDel="00000000">
              <w:rPr>
                <w:rtl w:val="0"/>
              </w:rPr>
              <w:t xml:space="preserve">) Kapitālsabiedrība, kura vēlas saņemt speciālo atļauju (licenci), maksā Latvijas Bankai 2500 </w:t>
            </w:r>
            <w:r w:rsidR="00000000" w:rsidRPr="00000000" w:rsidDel="00000000">
              <w:rPr>
                <w:i w:val="1"/>
                <w:rtl w:val="0"/>
              </w:rPr>
              <w:t xml:space="preserve">euro</w:t>
            </w:r>
            <w:r w:rsidR="00000000" w:rsidRPr="00000000" w:rsidDel="00000000">
              <w:rPr>
                <w:rtl w:val="0"/>
              </w:rPr>
              <w:t xml:space="preserve"> par speciālas atļaujas (licences)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Kapitālsabiedrība, kas saņēmusi speciālo atļauju (licenci), maksā Latvijas Bankai 5000 </w:t>
            </w:r>
            <w:r w:rsidR="00000000" w:rsidRPr="00000000" w:rsidDel="00000000">
              <w:rPr>
                <w:i w:val="1"/>
                <w:rtl w:val="0"/>
              </w:rPr>
              <w:t xml:space="preserve">euro</w:t>
            </w:r>
            <w:r w:rsidR="00000000" w:rsidRPr="00000000" w:rsidDel="00000000">
              <w:rPr>
                <w:rtl w:val="0"/>
              </w:rPr>
              <w:t xml:space="preserve"> gadā un papildus līdz 0,033 procentiem (ieskaitot) no kapitālsabiedrības vidējās patērētājiem izsniegto kredītu kredītportfeļa apjoma vērtības katrā kalendārā gada ceturksnī, bet kopējā tās maksa Latvijas Bankai nepārsniedz 100 000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24. pantu Latvijas Bankas uzraudzītais finanšu tirgus dalībnieks atbilstoši attiecīgā finanšu tirgus dalībnieka darbību regulējošajam likumam veic maksājumus Latvijas Bankai, lai segtu Latvijas Bankas izdevumus, kas tieši vai netieši saistīti ar finanšu tirgus un tā dalībnieku darbības regulēšanu un uzraudzību, noregulējuma piemērošanu un kompensāciju izmaksas sistēmu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likumprojekta pantu, norādot, uz kāda izvērtējuma pamata tika noteikta likumprojektā norādītā uzraudzības maksa, ņemot vērā, ka likumprojekta anotācijā norādītais Latvijas Bankas darbinieku skaits ir 6 un izmaksas – 352`800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2025.gada statistikas datiem ar likumprojektā iekļauto redakciju patērētāju kreditēšanas pakalpojuma sniedzēji Latvijas Bankai veiktu maksājumus 1`582`965.70  EUR apmērā. Proti, reforma pēc būtības paredz pusotra miljona EUR atņemšanu valsts budžetam un novirzīšanu Latvijas Bankai. Tādejādi rodas neizmantotie ienākumi Latvijas Bankai 1`230`165,70 EUR apmērā, kas netiks izmantoti uzraudzībai un faktiski uzskatāma par Latvijas Bankas peļņu (ienākumi mīnus izdevumi). Aicinām pārskatīt pantā noteikto komisijas maksu, kas neatbilst reālajām un norādītajām Latvijas Bankas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lūdzam papildināt likumprojektu, kā arī anotāciju ar aprēķiniem un norādi, ka uzraudzības maksas pārsniegšanas gadījumā Latvijas Banka rīkosies Latvijas Bankas likuma 25.pantā noteiktajā kārtībā, nosakot pienākumu publicēt aprēķinātās izmaksas par uzraudzību un attiecīgi samazinot Latvijas Bankai maksājamās uzraudzības maksas, tādejādi nodrošinot Latvijas Bankas likuma ievērošanu un uzraudzības maksu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"(2</w:t>
            </w:r>
            <w:r w:rsidR="00000000" w:rsidRPr="00000000" w:rsidDel="00000000">
              <w:rPr>
                <w:vertAlign w:val="superscript"/>
                <w:rtl w:val="0"/>
              </w:rPr>
              <w:t xml:space="preserve">1</w:t>
            </w:r>
            <w:r w:rsidR="00000000" w:rsidRPr="00000000" w:rsidDel="00000000">
              <w:rPr>
                <w:rtl w:val="0"/>
              </w:rPr>
              <w:t xml:space="preserve">) Šā panta otrā daļa neattiecas uz finanšu pakalpojumu jomu. Finanšu pakalpojumu jomā minētās prasības un to piemērošanas kārtību var noteikt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likumprojektā ietverto risinājumu - līdzšinējo Ministru kabineta regulējumu aizstāt ar Latvijas Bankas  noteikumiem. Vēršam uzmanību, ka uz šī deleģējuma pamata ir izdoti konkrēti Ministru kabineta noteikumi ar kuriem ir pārņemtas ES tiesību aktu prasības. EM ir šaubas par to, vai direktīvu prasības var tikt pārņemtas ar LB noteikumiem, jo tās attiecas ne tikai uz LB subjektu loku, bet arī patērētājiem un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prasību noteikšana būtu jāatstāj MK ziņā, lai EM varētu korekti īstenot politiku patērētāju tiesību jomā. Nebūtu korekti prasību izvirzīšanu un direktīvās paredzēto dalībvalstu izvēļu notiekšanu atstāt autonomas iestādes ziņā, ja politku šajā jomā turpina īstenot 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likumprojekta visus punktus, kas dzēs MK deleģējumu un tā vietā paredzēt LB un EM sadarbību patērētāju tiesību aizsardzības finanšu jomā, t.sk. attiecībā uz informācijas sniegšanu par nepieciešamajiem MK noteikumu un likumu grozījumiem un to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aizstāt trešajā daļā vārdus "centrs ir tiesīgs" ar vārdiem "centrs un Latvijas Banka ir tiesīgi".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26.</w:t>
            </w:r>
            <w:r w:rsidR="00000000" w:rsidRPr="00000000" w:rsidDel="00000000">
              <w:rPr>
                <w:vertAlign w:val="superscript"/>
                <w:rtl w:val="0"/>
              </w:rPr>
              <w:t xml:space="preserve">13</w:t>
            </w:r>
            <w:r w:rsidR="00000000" w:rsidRPr="00000000" w:rsidDel="00000000">
              <w:rPr>
                <w:rtl w:val="0"/>
              </w:rPr>
              <w:t xml:space="preserve"> panta trešās daļas ievaddaļu, nepieciešams attiecīgi papildināt trešās daļas 2.punktu, kur minēts, ka "Apmeklējuma laikā Patērētāju tiesību aizsardzības centra amatpersonām ir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26.</w:t>
            </w:r>
            <w:r w:rsidR="00000000" w:rsidRPr="00000000" w:rsidDel="00000000">
              <w:rPr>
                <w:vertAlign w:val="superscript"/>
                <w:rtl w:val="0"/>
              </w:rPr>
              <w:t xml:space="preserve">14</w:t>
            </w:r>
            <w:r w:rsidR="00000000" w:rsidRPr="00000000" w:rsidDel="00000000">
              <w:rPr>
                <w:rtl w:val="0"/>
              </w:rPr>
              <w:t xml:space="preserve"> pantā: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26.</w:t>
            </w:r>
            <w:r w:rsidR="00000000" w:rsidRPr="00000000" w:rsidDel="00000000">
              <w:rPr>
                <w:vertAlign w:val="superscript"/>
                <w:rtl w:val="0"/>
              </w:rPr>
              <w:t xml:space="preserve">14</w:t>
            </w:r>
            <w:r w:rsidR="00000000" w:rsidRPr="00000000" w:rsidDel="00000000">
              <w:rPr>
                <w:rtl w:val="0"/>
              </w:rPr>
              <w:t xml:space="preserve"> pantu, nepieciešams papildināt arī Elektronisko sakaru likuma 99.panta pirmo daļu, paredzot, ka elektronisko sakaru komersantiem ir pienākums sniegt saglabājamos datus Latvijas Bankai, kā arī attiecīgi papildināt Ministru kabineta 2022. gada 20. septembra noteikumus Nr. 583 "Saglabājamo datu apstrādes kārtība", iekļaujot iestāžu sarakstā Latvijas Banku.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26.</w:t>
            </w:r>
            <w:r w:rsidR="00000000" w:rsidRPr="00000000" w:rsidDel="00000000">
              <w:rPr>
                <w:vertAlign w:val="superscript"/>
                <w:rtl w:val="0"/>
              </w:rPr>
              <w:t xml:space="preserve">32</w:t>
            </w:r>
            <w:r w:rsidR="00000000" w:rsidRPr="00000000" w:rsidDel="00000000">
              <w:rPr>
                <w:rtl w:val="0"/>
              </w:rPr>
              <w:t xml:space="preserve"> pantu pēc vārdiem "valsts budžeta līdzekļiem" ar "vai Latvijas bankas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patērētāju tiesību aizsardzības uzraudzības finanšu pakalpojumu jomā īstenošanu turpmāk veiks Latvijas Banka, arī Latvijas Bankai ir jāuzņemās un savā budžetā jāatvēl līdzekļi ar patērētāju kolektīvo prasību saistītajiem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26.</w:t>
            </w:r>
            <w:r w:rsidR="00000000" w:rsidRPr="00000000" w:rsidDel="00000000">
              <w:rPr>
                <w:vertAlign w:val="superscript"/>
                <w:rtl w:val="0"/>
              </w:rPr>
              <w:t xml:space="preserve">33</w:t>
            </w:r>
            <w:r w:rsidR="00000000" w:rsidRPr="00000000" w:rsidDel="00000000">
              <w:rPr>
                <w:rtl w:val="0"/>
              </w:rPr>
              <w:t xml:space="preserve"> panta piekto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kvalificētā institūcija finansējumu kolektīvās prasības celšanai ir saņēmusi no Patērētāju tiesību aizsardzības centra vai Latvijas Bankas, tā līdzekļus, ko ir atguvusi tiesvedības laikā atbilstoši šā panta pirmajai daļai, atmaksā finansējuma piešķīrējam — Patērētāju tiesību aizsardzības centram vai Latvijas Bankai."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w:t>
            </w:r>
            <w:r w:rsidR="00000000" w:rsidRPr="00000000" w:rsidDel="00000000">
              <w:rPr>
                <w:b w:val="1"/>
                <w:rtl w:val="0"/>
              </w:rPr>
              <w:t xml:space="preserve">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Patērētāju tiesību pārkāpumi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 pants.</w:t>
            </w:r>
            <w:r w:rsidR="00000000" w:rsidRPr="00000000" w:rsidDel="00000000">
              <w:rPr>
                <w:rtl w:val="0"/>
              </w:rPr>
              <w:t xml:space="preserve"> </w:t>
            </w:r>
            <w:r w:rsidR="00000000" w:rsidRPr="00000000" w:rsidDel="00000000">
              <w:rPr>
                <w:b w:val="1"/>
                <w:rtl w:val="0"/>
              </w:rPr>
              <w:t xml:space="preserve">Atbildība par patērētāju tiesību pārkāpumiem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likuma, tieši piemērojamo Eiropas Savienības tiesību aktu, Latvijas Bankas noteikumu vai lēmumu pārkāpumiem patērētāju tiesību aizsardzības finanšu pakalpojumu jomā, tostarp par samaksas par pakalpojumu nepareizu noteikšanu, normatīvajos aktos noteikto prasību neievērošanu patērētāja kreditēšanai pret kustamas lietas ķīlu, patērētāju kreditēšanā noteikto darba laika prasību neievērošanu, normatīvajos aktos noteiktās rakstveida informācijas par pakalpojumu vai pakalpojumu sniedzēju nenodrošināšanu, pakalpojumu sniegšanas noteikumu pārkāpšanu, pakalpojuma cenas nenorādīšanu normatīvajos aktos noteiktajā kārtībā, kredīta starpnieka vai kredīta starpnieka pārstāvja darbību bez reģistrācijas Kredīta starpnieku un kredīta starpnieku pārstāvju reģistrā vai patērētāju kreditēšanas pakalpojumu sniegšanu bez speciālās atļaujas (licences) vai pēc tās apturēšanas vai anulēšanas, Latvijas Banka ir tiesīga izteikt brīdinājumu vai uzlikt soda naudu juridiskai personai – līdz 142 300 </w:t>
            </w:r>
            <w:r w:rsidR="00000000" w:rsidRPr="00000000" w:rsidDel="00000000">
              <w:rPr>
                <w:i w:val="1"/>
                <w:rtl w:val="0"/>
              </w:rPr>
              <w:t xml:space="preserve">euro</w:t>
            </w:r>
            <w:r w:rsidR="00000000" w:rsidRPr="00000000" w:rsidDel="00000000">
              <w:rPr>
                <w:rtl w:val="0"/>
              </w:rPr>
              <w:t xml:space="preserve">, fiziskai personai, tai skaitā juridiskas personas valdes loceklim, pilnsabiedrības biedram, vai citai par pārkāpumu atbildīgajai personai, – līdz 14 230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40. pants. Lēmumu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administratīvo aktu, kas izdots saskaņā ar šo likumu, var pārsūdzēt Administratīvajā apgabaltiesā. Tiesa triju tiesnešu sastāvā lietu izskata kā pirmās instances tiesa. Administratīvās apgabaltiesas spriedumu var pārsūdzēt, iesniedzot kasācijas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pret 39.pantu, kurā atsevišķi paredzēti sodi par patērētāju tiesību pārkāpumiem finanšu pakalpojumu jomā. Vēršam uzmanību, ka līdz šim atsevišķi administratīvie pārkāpumi patērētāju tiesību aizsardzības, tirdzniecības un pakalpojumu sniegšanas jomā noteikti 37.pantā. Taču lielākoties par patērētāju tiesību pārkāpumiem tiek piemērots Negodīgas komercprakses likums (sods paredzēts 15.</w:t>
            </w:r>
            <w:r w:rsidR="00000000" w:rsidRPr="00000000" w:rsidDel="00000000">
              <w:rPr>
                <w:vertAlign w:val="superscript"/>
                <w:rtl w:val="0"/>
              </w:rPr>
              <w:t xml:space="preserve">2</w:t>
            </w:r>
            <w:r w:rsidR="00000000" w:rsidRPr="00000000" w:rsidDel="00000000">
              <w:rPr>
                <w:rtl w:val="0"/>
              </w:rPr>
              <w:t xml:space="preserve"> pantā). Piemēram, par maksātspējas vērtēšanas prasību neievērošanu (https://registri.ptac.gov.lv/dokuments_19-pk-2021_nr-23789#other-files SIA “Extra credit” lēmums), netaisnīgiem līguma noteikumiem (https://registri.ptac.gov.lv/dokuments_21-pk-2018_nr-23805#related_13 SIA “Cityparks Latvija” lēmums), distances līgumu noteikumu neievērošanu (https://webdiskstorage.ptac.gov.lv/index.php/s/YuAW3ubpvCqrJq7 SIA “Vannas puķes” lēmums)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paredzot šādu atbildības pantu, ir risks nekonsekventai sodu piemērošanai vai pat dubultai sodīšanai - jo par vienu un to pašu pārkāpumu var tikt piemērots gan likumprojekta 39.pants, gan NKAL 15.</w:t>
            </w:r>
            <w:r w:rsidR="00000000" w:rsidRPr="00000000" w:rsidDel="00000000">
              <w:rPr>
                <w:vertAlign w:val="superscript"/>
                <w:rtl w:val="0"/>
              </w:rPr>
              <w:t xml:space="preserve">2</w:t>
            </w:r>
            <w:r w:rsidR="00000000" w:rsidRPr="00000000" w:rsidDel="00000000">
              <w:rPr>
                <w:rtl w:val="0"/>
              </w:rPr>
              <w:t xml:space="preserve">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pants. "46. Šā likuma 8. panta 1.</w:t>
            </w:r>
            <w:r w:rsidR="00000000" w:rsidRPr="00000000" w:rsidDel="00000000">
              <w:rPr>
                <w:vertAlign w:val="superscript"/>
                <w:rtl w:val="0"/>
              </w:rPr>
              <w:t xml:space="preserve">5</w:t>
            </w:r>
            <w:r w:rsidR="00000000" w:rsidRPr="00000000" w:rsidDel="00000000">
              <w:rPr>
                <w:rtl w:val="0"/>
              </w:rPr>
              <w:t xml:space="preserve"> un 1.</w:t>
            </w:r>
            <w:r w:rsidR="00000000" w:rsidRPr="00000000" w:rsidDel="00000000">
              <w:rPr>
                <w:vertAlign w:val="superscript"/>
                <w:rtl w:val="0"/>
              </w:rPr>
              <w:t xml:space="preserve">6</w:t>
            </w:r>
            <w:r w:rsidR="00000000" w:rsidRPr="00000000" w:rsidDel="00000000">
              <w:rPr>
                <w:rtl w:val="0"/>
              </w:rPr>
              <w:t xml:space="preserve"> daļa,  8.</w:t>
            </w:r>
            <w:r w:rsidR="00000000" w:rsidRPr="00000000" w:rsidDel="00000000">
              <w:rPr>
                <w:vertAlign w:val="superscript"/>
                <w:rtl w:val="0"/>
              </w:rPr>
              <w:t xml:space="preserve">2</w:t>
            </w:r>
            <w:r w:rsidR="00000000" w:rsidRPr="00000000" w:rsidDel="00000000">
              <w:rPr>
                <w:rtl w:val="0"/>
              </w:rPr>
              <w:t xml:space="preserve"> panta ceturtā un piektā daļa, 24. panta trešā daļa, 25.</w:t>
            </w:r>
            <w:r w:rsidR="00000000" w:rsidRPr="00000000" w:rsidDel="00000000">
              <w:rPr>
                <w:vertAlign w:val="superscript"/>
                <w:rtl w:val="0"/>
              </w:rPr>
              <w:t xml:space="preserve">3 </w:t>
            </w:r>
            <w:r w:rsidR="00000000" w:rsidRPr="00000000" w:rsidDel="00000000">
              <w:rPr>
                <w:rtl w:val="0"/>
              </w:rPr>
              <w:t xml:space="preserve">pants, 26.</w:t>
            </w:r>
            <w:r w:rsidR="00000000" w:rsidRPr="00000000" w:rsidDel="00000000">
              <w:rPr>
                <w:vertAlign w:val="superscript"/>
                <w:rtl w:val="0"/>
              </w:rPr>
              <w:t xml:space="preserve">1</w:t>
            </w:r>
            <w:r w:rsidR="00000000" w:rsidRPr="00000000" w:rsidDel="00000000">
              <w:rPr>
                <w:rtl w:val="0"/>
              </w:rPr>
              <w:t xml:space="preserve"> panta desmitās daļas 5. punkts un X nodaļa, kā arī grozījumi šā likuma 8.</w:t>
            </w:r>
            <w:r w:rsidR="00000000" w:rsidRPr="00000000" w:rsidDel="00000000">
              <w:rPr>
                <w:vertAlign w:val="superscript"/>
                <w:rtl w:val="0"/>
              </w:rPr>
              <w:t xml:space="preserve">2</w:t>
            </w:r>
            <w:r w:rsidR="00000000" w:rsidRPr="00000000" w:rsidDel="00000000">
              <w:rPr>
                <w:rtl w:val="0"/>
              </w:rPr>
              <w:t xml:space="preserve"> panta otrajā daļā, 24. panta otrajā daļā, 25. panta ceturtajā daļā, 26.</w:t>
            </w:r>
            <w:r w:rsidR="00000000" w:rsidRPr="00000000" w:rsidDel="00000000">
              <w:rPr>
                <w:vertAlign w:val="superscript"/>
                <w:rtl w:val="0"/>
              </w:rPr>
              <w:t xml:space="preserve">2</w:t>
            </w:r>
            <w:r w:rsidR="00000000" w:rsidRPr="00000000" w:rsidDel="00000000">
              <w:rPr>
                <w:rtl w:val="0"/>
              </w:rPr>
              <w:t xml:space="preserve"> pantā, 26.</w:t>
            </w:r>
            <w:r w:rsidR="00000000" w:rsidRPr="00000000" w:rsidDel="00000000">
              <w:rPr>
                <w:vertAlign w:val="superscript"/>
                <w:rtl w:val="0"/>
              </w:rPr>
              <w:t xml:space="preserve">13</w:t>
            </w:r>
            <w:r w:rsidR="00000000" w:rsidRPr="00000000" w:rsidDel="00000000">
              <w:rPr>
                <w:rtl w:val="0"/>
              </w:rPr>
              <w:t xml:space="preserve"> pantā, 26.</w:t>
            </w:r>
            <w:r w:rsidR="00000000" w:rsidRPr="00000000" w:rsidDel="00000000">
              <w:rPr>
                <w:vertAlign w:val="superscript"/>
                <w:rtl w:val="0"/>
              </w:rPr>
              <w:t xml:space="preserve">14</w:t>
            </w:r>
            <w:r w:rsidR="00000000" w:rsidRPr="00000000" w:rsidDel="00000000">
              <w:rPr>
                <w:rtl w:val="0"/>
              </w:rPr>
              <w:t xml:space="preserve"> pantā, 26.</w:t>
            </w:r>
            <w:r w:rsidR="00000000" w:rsidRPr="00000000" w:rsidDel="00000000">
              <w:rPr>
                <w:vertAlign w:val="superscript"/>
                <w:rtl w:val="0"/>
              </w:rPr>
              <w:t xml:space="preserve">15</w:t>
            </w:r>
            <w:r w:rsidR="00000000" w:rsidRPr="00000000" w:rsidDel="00000000">
              <w:rPr>
                <w:rtl w:val="0"/>
              </w:rPr>
              <w:t xml:space="preserve"> pantā, 26.</w:t>
            </w:r>
            <w:r w:rsidR="00000000" w:rsidRPr="00000000" w:rsidDel="00000000">
              <w:rPr>
                <w:vertAlign w:val="superscript"/>
                <w:rtl w:val="0"/>
              </w:rPr>
              <w:t xml:space="preserve">16</w:t>
            </w:r>
            <w:r w:rsidR="00000000" w:rsidRPr="00000000" w:rsidDel="00000000">
              <w:rPr>
                <w:rtl w:val="0"/>
              </w:rPr>
              <w:t xml:space="preserve"> pantā, 26.</w:t>
            </w:r>
            <w:r w:rsidR="00000000" w:rsidRPr="00000000" w:rsidDel="00000000">
              <w:rPr>
                <w:vertAlign w:val="superscript"/>
                <w:rtl w:val="0"/>
              </w:rPr>
              <w:t xml:space="preserve">17</w:t>
            </w:r>
            <w:r w:rsidR="00000000" w:rsidRPr="00000000" w:rsidDel="00000000">
              <w:rPr>
                <w:rtl w:val="0"/>
              </w:rPr>
              <w:t xml:space="preserve"> pantā, 26.</w:t>
            </w:r>
            <w:r w:rsidR="00000000" w:rsidRPr="00000000" w:rsidDel="00000000">
              <w:rPr>
                <w:vertAlign w:val="superscript"/>
                <w:rtl w:val="0"/>
              </w:rPr>
              <w:t xml:space="preserve">18</w:t>
            </w:r>
            <w:r w:rsidR="00000000" w:rsidRPr="00000000" w:rsidDel="00000000">
              <w:rPr>
                <w:rtl w:val="0"/>
              </w:rPr>
              <w:t xml:space="preserve"> pantā, 26.</w:t>
            </w:r>
            <w:r w:rsidR="00000000" w:rsidRPr="00000000" w:rsidDel="00000000">
              <w:rPr>
                <w:vertAlign w:val="superscript"/>
                <w:rtl w:val="0"/>
              </w:rPr>
              <w:t xml:space="preserve">21</w:t>
            </w:r>
            <w:r w:rsidR="00000000" w:rsidRPr="00000000" w:rsidDel="00000000">
              <w:rPr>
                <w:rtl w:val="0"/>
              </w:rPr>
              <w:t xml:space="preserve"> pantā, 26.</w:t>
            </w:r>
            <w:r w:rsidR="00000000" w:rsidRPr="00000000" w:rsidDel="00000000">
              <w:rPr>
                <w:vertAlign w:val="superscript"/>
                <w:rtl w:val="0"/>
              </w:rPr>
              <w:t xml:space="preserve">27</w:t>
            </w:r>
            <w:r w:rsidR="00000000" w:rsidRPr="00000000" w:rsidDel="00000000">
              <w:rPr>
                <w:rtl w:val="0"/>
              </w:rPr>
              <w:t xml:space="preserve"> pantā  26.</w:t>
            </w:r>
            <w:r w:rsidR="00000000" w:rsidRPr="00000000" w:rsidDel="00000000">
              <w:rPr>
                <w:vertAlign w:val="superscript"/>
                <w:rtl w:val="0"/>
              </w:rPr>
              <w:t xml:space="preserve">28</w:t>
            </w:r>
            <w:r w:rsidR="00000000" w:rsidRPr="00000000" w:rsidDel="00000000">
              <w:rPr>
                <w:rtl w:val="0"/>
              </w:rPr>
              <w:t xml:space="preserve"> pantā, 26.</w:t>
            </w:r>
            <w:r w:rsidR="00000000" w:rsidRPr="00000000" w:rsidDel="00000000">
              <w:rPr>
                <w:vertAlign w:val="superscript"/>
                <w:rtl w:val="0"/>
              </w:rPr>
              <w:t xml:space="preserve">31</w:t>
            </w:r>
            <w:r w:rsidR="00000000" w:rsidRPr="00000000" w:rsidDel="00000000">
              <w:rPr>
                <w:rtl w:val="0"/>
              </w:rPr>
              <w:t xml:space="preserve"> pantā un 37. pantā saistībā ar finanšu pakalpojumu jomas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Šā likuma 9. panta 2.</w:t>
            </w:r>
            <w:r w:rsidR="00000000" w:rsidRPr="00000000" w:rsidDel="00000000">
              <w:rPr>
                <w:vertAlign w:val="superscript"/>
                <w:rtl w:val="0"/>
              </w:rPr>
              <w:t xml:space="preserve">1</w:t>
            </w:r>
            <w:r w:rsidR="00000000" w:rsidRPr="00000000" w:rsidDel="00000000">
              <w:rPr>
                <w:rtl w:val="0"/>
              </w:rPr>
              <w:t xml:space="preserve"> daļa, 10. panta trešā daļa un 17. panta 3.</w:t>
            </w:r>
            <w:r w:rsidR="00000000" w:rsidRPr="00000000" w:rsidDel="00000000">
              <w:rPr>
                <w:vertAlign w:val="superscript"/>
                <w:rtl w:val="0"/>
              </w:rPr>
              <w:t xml:space="preserve">1</w:t>
            </w:r>
            <w:r w:rsidR="00000000" w:rsidRPr="00000000" w:rsidDel="00000000">
              <w:rPr>
                <w:rtl w:val="0"/>
              </w:rPr>
              <w:t xml:space="preserve"> daļa un grozījumi šā likuma 8. panta 1.</w:t>
            </w:r>
            <w:r w:rsidR="00000000" w:rsidRPr="00000000" w:rsidDel="00000000">
              <w:rPr>
                <w:vertAlign w:val="superscript"/>
                <w:rtl w:val="0"/>
              </w:rPr>
              <w:t xml:space="preserve">3</w:t>
            </w:r>
            <w:r w:rsidR="00000000" w:rsidRPr="00000000" w:rsidDel="00000000">
              <w:rPr>
                <w:rtl w:val="0"/>
              </w:rPr>
              <w:t xml:space="preserve"> daļā un ceturtajā daļā un 8.</w:t>
            </w:r>
            <w:r w:rsidR="00000000" w:rsidRPr="00000000" w:rsidDel="00000000">
              <w:rPr>
                <w:vertAlign w:val="superscript"/>
                <w:rtl w:val="0"/>
              </w:rPr>
              <w:t xml:space="preserve">2</w:t>
            </w:r>
            <w:r w:rsidR="00000000" w:rsidRPr="00000000" w:rsidDel="00000000">
              <w:rPr>
                <w:rtl w:val="0"/>
              </w:rPr>
              <w:t xml:space="preserve"> panta trešajā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Līdz 2028. gada 1. janvārim, kad Ministru kabineta 2016. gada 25. oktobra noteikumi Nr. 691 "Noteikumi par patērētāja kreditēšanu", Ministru kabineta 2011. gada 29. marta noteikumi Nr. 245 "Noteikumi par speciālo atļauju (licenci) patērētāju kreditēšanas pakalpojumu sniegšanai", Ministru kabineta 2016. gada 13. decembra noteikumi Nr.772 "Kredīta starpnieka un kredīta starpnieka pārstāvju reģistrācijas noteikumi" un Ministru kabineta 2014. gada 21. oktobra noteikumi Nr.648 "Noteikumi par distances līgumu par finanšu pakalpojumu sniegšanu"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šajos noteikumos lietoto nosaukumu "Patērētāju tiesību aizsardzības centrs" saprot nosaukumu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nepiemēro minēto noteikumu regulējumu par valsts nodevu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Līdz grozījumu izdarīšanai  Ministru kabineta 1999. gada 18. maija noteikumos Nr.178 "Kārtība, kādā norādāmas preču un pakalpojumu cenas" šo noteikumu ievērošanu attiecībā uz finanšu pakalpojumu jomu kontrolē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Patērētāju tiesību aizsardzības centra līdz 2026. gada 31. decembrim izsniegtās speciālās atļaujas (licences) patērētāju kreditēšanas pakalpojumu sniegšanai, kā arī kredīta starpnieku, to pārstāvju reģistrācija paliek spēkā arī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Patērētāju kreditēšanas pakalpojumu sniedzēji, kredīta starpnieki, kredīta starpnieka pārstāvji, kuriem saskaņā ar šo likumu ir pienākums maksāt valsts nodevu par to darbības uzraudzību, nemaksā valsts nodevu par 2027.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2026. gada 31. decembrim saskaņā ar šo likumu uzsāktos un nepabeigtos kreditēšanas pakalpojuma sniedzēju licencēšanas, kredītu starpnieku un to pārstāvju reģistrēšanas, kā arī administratīvo lietu un administratīvo pārkāpumu lietu procesus finanšu pakalpojumu jomā Patērētāju tiesību aizsardzības centrs pabeidz, piemērojot tās tiesību normas, kas bija spēkā attiecīgā procesa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Patērētāju tiesību aizsardzības centrs līdz 2026. gada 31. decembrim nodod Latvijas Bankai dokumentus, informāciju, datubāzes un reģistrus, kas saistīti ar patērētāju kreditēšanas pakalpojumu sniedzēju, kredīta starpnieku un to pārstāvju uzraudzību, izņemot tos dokumentus un informāciju, kas nepieciešami iesākto procesu pabeigšanai. Dokumentus un informāciju, kas nepieciešami iesākto procesu pabeigšanai, nodod pēc šo procesu pabeigšanas.  Latvijas Banka trīs dienu laikā pēc informācijas no Patērētāju tiesību centra saņemšanas par reģistrācijas procesa pabeigšanu veic attiecīgās izmaiņas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Tiesvedībās finanšu pakalpojumu jomā, kas uzsāktas līdz 2027. gada 1. janvārim un nav pabeigtas līdz šā likuma grozījumu attiecībā uz finanšu pakalpojumu jomas uzraudzības nodošanu Latvijas Bankai spēkā stāšanās dienai, Patērētāju tiesību aizsardzības centrs saglabā atbildētāja statusu līdz dienai, kad stājas spēkā galīgais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Latvijas Banka, pārņemot patērētāju tiesību aizsardzības uzraudzības funkciju finanšu pakalpojumu jomā, neuzņemas atbildību par tiešiem vai netiešiem zaudējumiem, kas izriet no prasījumiem attiecībā uz Patērētāju tiesību aizsardzības centra pieņemtajiem lēmumiem vai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52.punktu. Atbilstoši likumprojekta anotācijai ir paredzēts PTAC budžeta samazinājums sākot ar 2027.gada 1.janvāri, atlaižot visus finanšu pakalpojumu uzraudzības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decembrim saskaņā ar šo likumu uzsāktos un nepabeigtos kreditēšanas pakalpojuma sniedzēju licencēšanas, kredītu starpnieku un to pārstāvju reģistrēšanas, kā arī administratīvo lietu un administratīvo pārkāpumu lietu procesus finanšu pakalpojumu jomā ar 2027.gada 1.janvāri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pants. "46. Šā likuma 8. panta 1.</w:t>
            </w:r>
            <w:r w:rsidR="00000000" w:rsidRPr="00000000" w:rsidDel="00000000">
              <w:rPr>
                <w:vertAlign w:val="superscript"/>
                <w:rtl w:val="0"/>
              </w:rPr>
              <w:t xml:space="preserve">5</w:t>
            </w:r>
            <w:r w:rsidR="00000000" w:rsidRPr="00000000" w:rsidDel="00000000">
              <w:rPr>
                <w:rtl w:val="0"/>
              </w:rPr>
              <w:t xml:space="preserve"> un 1.</w:t>
            </w:r>
            <w:r w:rsidR="00000000" w:rsidRPr="00000000" w:rsidDel="00000000">
              <w:rPr>
                <w:vertAlign w:val="superscript"/>
                <w:rtl w:val="0"/>
              </w:rPr>
              <w:t xml:space="preserve">6</w:t>
            </w:r>
            <w:r w:rsidR="00000000" w:rsidRPr="00000000" w:rsidDel="00000000">
              <w:rPr>
                <w:rtl w:val="0"/>
              </w:rPr>
              <w:t xml:space="preserve"> daļa,  8.</w:t>
            </w:r>
            <w:r w:rsidR="00000000" w:rsidRPr="00000000" w:rsidDel="00000000">
              <w:rPr>
                <w:vertAlign w:val="superscript"/>
                <w:rtl w:val="0"/>
              </w:rPr>
              <w:t xml:space="preserve">2</w:t>
            </w:r>
            <w:r w:rsidR="00000000" w:rsidRPr="00000000" w:rsidDel="00000000">
              <w:rPr>
                <w:rtl w:val="0"/>
              </w:rPr>
              <w:t xml:space="preserve"> panta ceturtā un piektā daļa, 24. panta trešā daļa, 25.</w:t>
            </w:r>
            <w:r w:rsidR="00000000" w:rsidRPr="00000000" w:rsidDel="00000000">
              <w:rPr>
                <w:vertAlign w:val="superscript"/>
                <w:rtl w:val="0"/>
              </w:rPr>
              <w:t xml:space="preserve">3 </w:t>
            </w:r>
            <w:r w:rsidR="00000000" w:rsidRPr="00000000" w:rsidDel="00000000">
              <w:rPr>
                <w:rtl w:val="0"/>
              </w:rPr>
              <w:t xml:space="preserve">pants, 26.</w:t>
            </w:r>
            <w:r w:rsidR="00000000" w:rsidRPr="00000000" w:rsidDel="00000000">
              <w:rPr>
                <w:vertAlign w:val="superscript"/>
                <w:rtl w:val="0"/>
              </w:rPr>
              <w:t xml:space="preserve">1</w:t>
            </w:r>
            <w:r w:rsidR="00000000" w:rsidRPr="00000000" w:rsidDel="00000000">
              <w:rPr>
                <w:rtl w:val="0"/>
              </w:rPr>
              <w:t xml:space="preserve"> panta desmitās daļas 5. punkts un X nodaļa, kā arī grozījumi šā likuma 8.</w:t>
            </w:r>
            <w:r w:rsidR="00000000" w:rsidRPr="00000000" w:rsidDel="00000000">
              <w:rPr>
                <w:vertAlign w:val="superscript"/>
                <w:rtl w:val="0"/>
              </w:rPr>
              <w:t xml:space="preserve">2</w:t>
            </w:r>
            <w:r w:rsidR="00000000" w:rsidRPr="00000000" w:rsidDel="00000000">
              <w:rPr>
                <w:rtl w:val="0"/>
              </w:rPr>
              <w:t xml:space="preserve"> panta otrajā daļā, 24. panta otrajā daļā, 25. panta ceturtajā daļā, 26.</w:t>
            </w:r>
            <w:r w:rsidR="00000000" w:rsidRPr="00000000" w:rsidDel="00000000">
              <w:rPr>
                <w:vertAlign w:val="superscript"/>
                <w:rtl w:val="0"/>
              </w:rPr>
              <w:t xml:space="preserve">2</w:t>
            </w:r>
            <w:r w:rsidR="00000000" w:rsidRPr="00000000" w:rsidDel="00000000">
              <w:rPr>
                <w:rtl w:val="0"/>
              </w:rPr>
              <w:t xml:space="preserve"> pantā, 26.</w:t>
            </w:r>
            <w:r w:rsidR="00000000" w:rsidRPr="00000000" w:rsidDel="00000000">
              <w:rPr>
                <w:vertAlign w:val="superscript"/>
                <w:rtl w:val="0"/>
              </w:rPr>
              <w:t xml:space="preserve">13</w:t>
            </w:r>
            <w:r w:rsidR="00000000" w:rsidRPr="00000000" w:rsidDel="00000000">
              <w:rPr>
                <w:rtl w:val="0"/>
              </w:rPr>
              <w:t xml:space="preserve"> pantā, 26.</w:t>
            </w:r>
            <w:r w:rsidR="00000000" w:rsidRPr="00000000" w:rsidDel="00000000">
              <w:rPr>
                <w:vertAlign w:val="superscript"/>
                <w:rtl w:val="0"/>
              </w:rPr>
              <w:t xml:space="preserve">14</w:t>
            </w:r>
            <w:r w:rsidR="00000000" w:rsidRPr="00000000" w:rsidDel="00000000">
              <w:rPr>
                <w:rtl w:val="0"/>
              </w:rPr>
              <w:t xml:space="preserve"> pantā, 26.</w:t>
            </w:r>
            <w:r w:rsidR="00000000" w:rsidRPr="00000000" w:rsidDel="00000000">
              <w:rPr>
                <w:vertAlign w:val="superscript"/>
                <w:rtl w:val="0"/>
              </w:rPr>
              <w:t xml:space="preserve">15</w:t>
            </w:r>
            <w:r w:rsidR="00000000" w:rsidRPr="00000000" w:rsidDel="00000000">
              <w:rPr>
                <w:rtl w:val="0"/>
              </w:rPr>
              <w:t xml:space="preserve"> pantā, 26.</w:t>
            </w:r>
            <w:r w:rsidR="00000000" w:rsidRPr="00000000" w:rsidDel="00000000">
              <w:rPr>
                <w:vertAlign w:val="superscript"/>
                <w:rtl w:val="0"/>
              </w:rPr>
              <w:t xml:space="preserve">16</w:t>
            </w:r>
            <w:r w:rsidR="00000000" w:rsidRPr="00000000" w:rsidDel="00000000">
              <w:rPr>
                <w:rtl w:val="0"/>
              </w:rPr>
              <w:t xml:space="preserve"> pantā, 26.</w:t>
            </w:r>
            <w:r w:rsidR="00000000" w:rsidRPr="00000000" w:rsidDel="00000000">
              <w:rPr>
                <w:vertAlign w:val="superscript"/>
                <w:rtl w:val="0"/>
              </w:rPr>
              <w:t xml:space="preserve">17</w:t>
            </w:r>
            <w:r w:rsidR="00000000" w:rsidRPr="00000000" w:rsidDel="00000000">
              <w:rPr>
                <w:rtl w:val="0"/>
              </w:rPr>
              <w:t xml:space="preserve"> pantā, 26.</w:t>
            </w:r>
            <w:r w:rsidR="00000000" w:rsidRPr="00000000" w:rsidDel="00000000">
              <w:rPr>
                <w:vertAlign w:val="superscript"/>
                <w:rtl w:val="0"/>
              </w:rPr>
              <w:t xml:space="preserve">18</w:t>
            </w:r>
            <w:r w:rsidR="00000000" w:rsidRPr="00000000" w:rsidDel="00000000">
              <w:rPr>
                <w:rtl w:val="0"/>
              </w:rPr>
              <w:t xml:space="preserve"> pantā, 26.</w:t>
            </w:r>
            <w:r w:rsidR="00000000" w:rsidRPr="00000000" w:rsidDel="00000000">
              <w:rPr>
                <w:vertAlign w:val="superscript"/>
                <w:rtl w:val="0"/>
              </w:rPr>
              <w:t xml:space="preserve">21</w:t>
            </w:r>
            <w:r w:rsidR="00000000" w:rsidRPr="00000000" w:rsidDel="00000000">
              <w:rPr>
                <w:rtl w:val="0"/>
              </w:rPr>
              <w:t xml:space="preserve"> pantā, 26.</w:t>
            </w:r>
            <w:r w:rsidR="00000000" w:rsidRPr="00000000" w:rsidDel="00000000">
              <w:rPr>
                <w:vertAlign w:val="superscript"/>
                <w:rtl w:val="0"/>
              </w:rPr>
              <w:t xml:space="preserve">27</w:t>
            </w:r>
            <w:r w:rsidR="00000000" w:rsidRPr="00000000" w:rsidDel="00000000">
              <w:rPr>
                <w:rtl w:val="0"/>
              </w:rPr>
              <w:t xml:space="preserve"> pantā  26.</w:t>
            </w:r>
            <w:r w:rsidR="00000000" w:rsidRPr="00000000" w:rsidDel="00000000">
              <w:rPr>
                <w:vertAlign w:val="superscript"/>
                <w:rtl w:val="0"/>
              </w:rPr>
              <w:t xml:space="preserve">28</w:t>
            </w:r>
            <w:r w:rsidR="00000000" w:rsidRPr="00000000" w:rsidDel="00000000">
              <w:rPr>
                <w:rtl w:val="0"/>
              </w:rPr>
              <w:t xml:space="preserve"> pantā, 26.</w:t>
            </w:r>
            <w:r w:rsidR="00000000" w:rsidRPr="00000000" w:rsidDel="00000000">
              <w:rPr>
                <w:vertAlign w:val="superscript"/>
                <w:rtl w:val="0"/>
              </w:rPr>
              <w:t xml:space="preserve">31</w:t>
            </w:r>
            <w:r w:rsidR="00000000" w:rsidRPr="00000000" w:rsidDel="00000000">
              <w:rPr>
                <w:rtl w:val="0"/>
              </w:rPr>
              <w:t xml:space="preserve"> pantā un 37. pantā saistībā ar finanšu pakalpojumu jomas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Šā likuma 9. panta 2.</w:t>
            </w:r>
            <w:r w:rsidR="00000000" w:rsidRPr="00000000" w:rsidDel="00000000">
              <w:rPr>
                <w:vertAlign w:val="superscript"/>
                <w:rtl w:val="0"/>
              </w:rPr>
              <w:t xml:space="preserve">1</w:t>
            </w:r>
            <w:r w:rsidR="00000000" w:rsidRPr="00000000" w:rsidDel="00000000">
              <w:rPr>
                <w:rtl w:val="0"/>
              </w:rPr>
              <w:t xml:space="preserve"> daļa, 10. panta trešā daļa un 17. panta 3.</w:t>
            </w:r>
            <w:r w:rsidR="00000000" w:rsidRPr="00000000" w:rsidDel="00000000">
              <w:rPr>
                <w:vertAlign w:val="superscript"/>
                <w:rtl w:val="0"/>
              </w:rPr>
              <w:t xml:space="preserve">1</w:t>
            </w:r>
            <w:r w:rsidR="00000000" w:rsidRPr="00000000" w:rsidDel="00000000">
              <w:rPr>
                <w:rtl w:val="0"/>
              </w:rPr>
              <w:t xml:space="preserve"> daļa un grozījumi šā likuma 8. panta 1.</w:t>
            </w:r>
            <w:r w:rsidR="00000000" w:rsidRPr="00000000" w:rsidDel="00000000">
              <w:rPr>
                <w:vertAlign w:val="superscript"/>
                <w:rtl w:val="0"/>
              </w:rPr>
              <w:t xml:space="preserve">3</w:t>
            </w:r>
            <w:r w:rsidR="00000000" w:rsidRPr="00000000" w:rsidDel="00000000">
              <w:rPr>
                <w:rtl w:val="0"/>
              </w:rPr>
              <w:t xml:space="preserve"> daļā un ceturtajā daļā un 8.</w:t>
            </w:r>
            <w:r w:rsidR="00000000" w:rsidRPr="00000000" w:rsidDel="00000000">
              <w:rPr>
                <w:vertAlign w:val="superscript"/>
                <w:rtl w:val="0"/>
              </w:rPr>
              <w:t xml:space="preserve">2</w:t>
            </w:r>
            <w:r w:rsidR="00000000" w:rsidRPr="00000000" w:rsidDel="00000000">
              <w:rPr>
                <w:rtl w:val="0"/>
              </w:rPr>
              <w:t xml:space="preserve"> panta trešajā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Līdz 2028. gada 1. janvārim, kad Ministru kabineta 2016. gada 25. oktobra noteikumi Nr. 691 "Noteikumi par patērētāja kreditēšanu", Ministru kabineta 2011. gada 29. marta noteikumi Nr. 245 "Noteikumi par speciālo atļauju (licenci) patērētāju kreditēšanas pakalpojumu sniegšanai", Ministru kabineta 2016. gada 13. decembra noteikumi Nr.772 "Kredīta starpnieka un kredīta starpnieka pārstāvju reģistrācijas noteikumi" un Ministru kabineta 2014. gada 21. oktobra noteikumi Nr.648 "Noteikumi par distances līgumu par finanšu pakalpojumu sniegšanu"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šajos noteikumos lietoto nosaukumu "Patērētāju tiesību aizsardzības centrs" saprot nosaukumu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nepiemēro minēto noteikumu regulējumu par valsts nodevu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Līdz grozījumu izdarīšanai  Ministru kabineta 1999. gada 18. maija noteikumos Nr.178 "Kārtība, kādā norādāmas preču un pakalpojumu cenas" šo noteikumu ievērošanu attiecībā uz finanšu pakalpojumu jomu kontrolē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Patērētāju tiesību aizsardzības centra līdz 2026. gada 31. decembrim izsniegtās speciālās atļaujas (licences) patērētāju kreditēšanas pakalpojumu sniegšanai, kā arī kredīta starpnieku, to pārstāvju reģistrācija paliek spēkā arī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Patērētāju kreditēšanas pakalpojumu sniedzēji, kredīta starpnieki, kredīta starpnieka pārstāvji, kuriem saskaņā ar šo likumu ir pienākums maksāt valsts nodevu par to darbības uzraudzību, nemaksā valsts nodevu par 2027.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2026. gada 31. decembrim saskaņā ar šo likumu uzsāktos un nepabeigtos kreditēšanas pakalpojuma sniedzēju licencēšanas, kredītu starpnieku un to pārstāvju reģistrēšanas, kā arī administratīvo lietu un administratīvo pārkāpumu lietu procesus finanšu pakalpojumu jomā Patērētāju tiesību aizsardzības centrs pabeidz, piemērojot tās tiesību normas, kas bija spēkā attiecīgā procesa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Patērētāju tiesību aizsardzības centrs līdz 2026. gada 31. decembrim nodod Latvijas Bankai dokumentus, informāciju, datubāzes un reģistrus, kas saistīti ar patērētāju kreditēšanas pakalpojumu sniedzēju, kredīta starpnieku un to pārstāvju uzraudzību, izņemot tos dokumentus un informāciju, kas nepieciešami iesākto procesu pabeigšanai. Dokumentus un informāciju, kas nepieciešami iesākto procesu pabeigšanai, nodod pēc šo procesu pabeigšanas.  Latvijas Banka trīs dienu laikā pēc informācijas no Patērētāju tiesību centra saņemšanas par reģistrācijas procesa pabeigšanu veic attiecīgās izmaiņas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Tiesvedībās finanšu pakalpojumu jomā, kas uzsāktas līdz 2027. gada 1. janvārim un nav pabeigtas līdz šā likuma grozījumu attiecībā uz finanšu pakalpojumu jomas uzraudzības nodošanu Latvijas Bankai spēkā stāšanās dienai, Patērētāju tiesību aizsardzības centrs saglabā atbildētāja statusu līdz dienai, kad stājas spēkā galīgais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Latvijas Banka, pārņemot patērētāju tiesību aizsardzības uzraudzības funkciju finanšu pakalpojumu jomā, neuzņemas atbildību par tiešiem vai netiešiem zaudējumiem, kas izriet no prasījumiem attiecībā uz Patērētāju tiesību aizsardzības centra pieņemtajiem lēmumiem vai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53.punktu.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anotācijai ir paredzēts PTAC budžeta samazinājums sākot ar 2027.gada 1.janvāri, atlaižot visus finanšu pakalpojumu uzraudzības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lūdzam skaidrot, kādā veidā būtu nododami dokumenti, informācija, datubāzes un reģistri, kas saistīti ar patērētāju kreditēšanas pakalpojumu sniedzēju, kredīta starpnieku un to pārstāvju uzraudzību, ņemot vērā, ka tie PTAC elektroniskajās uzraudzības sistēmās reģistrēti dokumenti un datubāzes. Pamatā PTAC izmanto divas informācijas sistēmas – DVS “Namejs” un IS Uzraugs.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53.punkta otro teikumu sekojošā redakcijā: ”Iesniegumus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pants. "46. Šā likuma 8. panta 1.</w:t>
            </w:r>
            <w:r w:rsidR="00000000" w:rsidRPr="00000000" w:rsidDel="00000000">
              <w:rPr>
                <w:vertAlign w:val="superscript"/>
                <w:rtl w:val="0"/>
              </w:rPr>
              <w:t xml:space="preserve">5</w:t>
            </w:r>
            <w:r w:rsidR="00000000" w:rsidRPr="00000000" w:rsidDel="00000000">
              <w:rPr>
                <w:rtl w:val="0"/>
              </w:rPr>
              <w:t xml:space="preserve"> un 1.</w:t>
            </w:r>
            <w:r w:rsidR="00000000" w:rsidRPr="00000000" w:rsidDel="00000000">
              <w:rPr>
                <w:vertAlign w:val="superscript"/>
                <w:rtl w:val="0"/>
              </w:rPr>
              <w:t xml:space="preserve">6</w:t>
            </w:r>
            <w:r w:rsidR="00000000" w:rsidRPr="00000000" w:rsidDel="00000000">
              <w:rPr>
                <w:rtl w:val="0"/>
              </w:rPr>
              <w:t xml:space="preserve"> daļa,  8.</w:t>
            </w:r>
            <w:r w:rsidR="00000000" w:rsidRPr="00000000" w:rsidDel="00000000">
              <w:rPr>
                <w:vertAlign w:val="superscript"/>
                <w:rtl w:val="0"/>
              </w:rPr>
              <w:t xml:space="preserve">2</w:t>
            </w:r>
            <w:r w:rsidR="00000000" w:rsidRPr="00000000" w:rsidDel="00000000">
              <w:rPr>
                <w:rtl w:val="0"/>
              </w:rPr>
              <w:t xml:space="preserve"> panta ceturtā un piektā daļa, 24. panta trešā daļa, 25.</w:t>
            </w:r>
            <w:r w:rsidR="00000000" w:rsidRPr="00000000" w:rsidDel="00000000">
              <w:rPr>
                <w:vertAlign w:val="superscript"/>
                <w:rtl w:val="0"/>
              </w:rPr>
              <w:t xml:space="preserve">3 </w:t>
            </w:r>
            <w:r w:rsidR="00000000" w:rsidRPr="00000000" w:rsidDel="00000000">
              <w:rPr>
                <w:rtl w:val="0"/>
              </w:rPr>
              <w:t xml:space="preserve">pants, 26.</w:t>
            </w:r>
            <w:r w:rsidR="00000000" w:rsidRPr="00000000" w:rsidDel="00000000">
              <w:rPr>
                <w:vertAlign w:val="superscript"/>
                <w:rtl w:val="0"/>
              </w:rPr>
              <w:t xml:space="preserve">1</w:t>
            </w:r>
            <w:r w:rsidR="00000000" w:rsidRPr="00000000" w:rsidDel="00000000">
              <w:rPr>
                <w:rtl w:val="0"/>
              </w:rPr>
              <w:t xml:space="preserve"> panta desmitās daļas 5. punkts un X nodaļa, kā arī grozījumi šā likuma 8.</w:t>
            </w:r>
            <w:r w:rsidR="00000000" w:rsidRPr="00000000" w:rsidDel="00000000">
              <w:rPr>
                <w:vertAlign w:val="superscript"/>
                <w:rtl w:val="0"/>
              </w:rPr>
              <w:t xml:space="preserve">2</w:t>
            </w:r>
            <w:r w:rsidR="00000000" w:rsidRPr="00000000" w:rsidDel="00000000">
              <w:rPr>
                <w:rtl w:val="0"/>
              </w:rPr>
              <w:t xml:space="preserve"> panta otrajā daļā, 24. panta otrajā daļā, 25. panta ceturtajā daļā, 26.</w:t>
            </w:r>
            <w:r w:rsidR="00000000" w:rsidRPr="00000000" w:rsidDel="00000000">
              <w:rPr>
                <w:vertAlign w:val="superscript"/>
                <w:rtl w:val="0"/>
              </w:rPr>
              <w:t xml:space="preserve">2</w:t>
            </w:r>
            <w:r w:rsidR="00000000" w:rsidRPr="00000000" w:rsidDel="00000000">
              <w:rPr>
                <w:rtl w:val="0"/>
              </w:rPr>
              <w:t xml:space="preserve"> pantā, 26.</w:t>
            </w:r>
            <w:r w:rsidR="00000000" w:rsidRPr="00000000" w:rsidDel="00000000">
              <w:rPr>
                <w:vertAlign w:val="superscript"/>
                <w:rtl w:val="0"/>
              </w:rPr>
              <w:t xml:space="preserve">13</w:t>
            </w:r>
            <w:r w:rsidR="00000000" w:rsidRPr="00000000" w:rsidDel="00000000">
              <w:rPr>
                <w:rtl w:val="0"/>
              </w:rPr>
              <w:t xml:space="preserve"> pantā, 26.</w:t>
            </w:r>
            <w:r w:rsidR="00000000" w:rsidRPr="00000000" w:rsidDel="00000000">
              <w:rPr>
                <w:vertAlign w:val="superscript"/>
                <w:rtl w:val="0"/>
              </w:rPr>
              <w:t xml:space="preserve">14</w:t>
            </w:r>
            <w:r w:rsidR="00000000" w:rsidRPr="00000000" w:rsidDel="00000000">
              <w:rPr>
                <w:rtl w:val="0"/>
              </w:rPr>
              <w:t xml:space="preserve"> pantā, 26.</w:t>
            </w:r>
            <w:r w:rsidR="00000000" w:rsidRPr="00000000" w:rsidDel="00000000">
              <w:rPr>
                <w:vertAlign w:val="superscript"/>
                <w:rtl w:val="0"/>
              </w:rPr>
              <w:t xml:space="preserve">15</w:t>
            </w:r>
            <w:r w:rsidR="00000000" w:rsidRPr="00000000" w:rsidDel="00000000">
              <w:rPr>
                <w:rtl w:val="0"/>
              </w:rPr>
              <w:t xml:space="preserve"> pantā, 26.</w:t>
            </w:r>
            <w:r w:rsidR="00000000" w:rsidRPr="00000000" w:rsidDel="00000000">
              <w:rPr>
                <w:vertAlign w:val="superscript"/>
                <w:rtl w:val="0"/>
              </w:rPr>
              <w:t xml:space="preserve">16</w:t>
            </w:r>
            <w:r w:rsidR="00000000" w:rsidRPr="00000000" w:rsidDel="00000000">
              <w:rPr>
                <w:rtl w:val="0"/>
              </w:rPr>
              <w:t xml:space="preserve"> pantā, 26.</w:t>
            </w:r>
            <w:r w:rsidR="00000000" w:rsidRPr="00000000" w:rsidDel="00000000">
              <w:rPr>
                <w:vertAlign w:val="superscript"/>
                <w:rtl w:val="0"/>
              </w:rPr>
              <w:t xml:space="preserve">17</w:t>
            </w:r>
            <w:r w:rsidR="00000000" w:rsidRPr="00000000" w:rsidDel="00000000">
              <w:rPr>
                <w:rtl w:val="0"/>
              </w:rPr>
              <w:t xml:space="preserve"> pantā, 26.</w:t>
            </w:r>
            <w:r w:rsidR="00000000" w:rsidRPr="00000000" w:rsidDel="00000000">
              <w:rPr>
                <w:vertAlign w:val="superscript"/>
                <w:rtl w:val="0"/>
              </w:rPr>
              <w:t xml:space="preserve">18</w:t>
            </w:r>
            <w:r w:rsidR="00000000" w:rsidRPr="00000000" w:rsidDel="00000000">
              <w:rPr>
                <w:rtl w:val="0"/>
              </w:rPr>
              <w:t xml:space="preserve"> pantā, 26.</w:t>
            </w:r>
            <w:r w:rsidR="00000000" w:rsidRPr="00000000" w:rsidDel="00000000">
              <w:rPr>
                <w:vertAlign w:val="superscript"/>
                <w:rtl w:val="0"/>
              </w:rPr>
              <w:t xml:space="preserve">21</w:t>
            </w:r>
            <w:r w:rsidR="00000000" w:rsidRPr="00000000" w:rsidDel="00000000">
              <w:rPr>
                <w:rtl w:val="0"/>
              </w:rPr>
              <w:t xml:space="preserve"> pantā, 26.</w:t>
            </w:r>
            <w:r w:rsidR="00000000" w:rsidRPr="00000000" w:rsidDel="00000000">
              <w:rPr>
                <w:vertAlign w:val="superscript"/>
                <w:rtl w:val="0"/>
              </w:rPr>
              <w:t xml:space="preserve">27</w:t>
            </w:r>
            <w:r w:rsidR="00000000" w:rsidRPr="00000000" w:rsidDel="00000000">
              <w:rPr>
                <w:rtl w:val="0"/>
              </w:rPr>
              <w:t xml:space="preserve"> pantā  26.</w:t>
            </w:r>
            <w:r w:rsidR="00000000" w:rsidRPr="00000000" w:rsidDel="00000000">
              <w:rPr>
                <w:vertAlign w:val="superscript"/>
                <w:rtl w:val="0"/>
              </w:rPr>
              <w:t xml:space="preserve">28</w:t>
            </w:r>
            <w:r w:rsidR="00000000" w:rsidRPr="00000000" w:rsidDel="00000000">
              <w:rPr>
                <w:rtl w:val="0"/>
              </w:rPr>
              <w:t xml:space="preserve"> pantā, 26.</w:t>
            </w:r>
            <w:r w:rsidR="00000000" w:rsidRPr="00000000" w:rsidDel="00000000">
              <w:rPr>
                <w:vertAlign w:val="superscript"/>
                <w:rtl w:val="0"/>
              </w:rPr>
              <w:t xml:space="preserve">31</w:t>
            </w:r>
            <w:r w:rsidR="00000000" w:rsidRPr="00000000" w:rsidDel="00000000">
              <w:rPr>
                <w:rtl w:val="0"/>
              </w:rPr>
              <w:t xml:space="preserve"> pantā un 37. pantā saistībā ar finanšu pakalpojumu jomas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Šā likuma 9. panta 2.</w:t>
            </w:r>
            <w:r w:rsidR="00000000" w:rsidRPr="00000000" w:rsidDel="00000000">
              <w:rPr>
                <w:vertAlign w:val="superscript"/>
                <w:rtl w:val="0"/>
              </w:rPr>
              <w:t xml:space="preserve">1</w:t>
            </w:r>
            <w:r w:rsidR="00000000" w:rsidRPr="00000000" w:rsidDel="00000000">
              <w:rPr>
                <w:rtl w:val="0"/>
              </w:rPr>
              <w:t xml:space="preserve"> daļa, 10. panta trešā daļa un 17. panta 3.</w:t>
            </w:r>
            <w:r w:rsidR="00000000" w:rsidRPr="00000000" w:rsidDel="00000000">
              <w:rPr>
                <w:vertAlign w:val="superscript"/>
                <w:rtl w:val="0"/>
              </w:rPr>
              <w:t xml:space="preserve">1</w:t>
            </w:r>
            <w:r w:rsidR="00000000" w:rsidRPr="00000000" w:rsidDel="00000000">
              <w:rPr>
                <w:rtl w:val="0"/>
              </w:rPr>
              <w:t xml:space="preserve"> daļa un grozījumi šā likuma 8. panta 1.</w:t>
            </w:r>
            <w:r w:rsidR="00000000" w:rsidRPr="00000000" w:rsidDel="00000000">
              <w:rPr>
                <w:vertAlign w:val="superscript"/>
                <w:rtl w:val="0"/>
              </w:rPr>
              <w:t xml:space="preserve">3</w:t>
            </w:r>
            <w:r w:rsidR="00000000" w:rsidRPr="00000000" w:rsidDel="00000000">
              <w:rPr>
                <w:rtl w:val="0"/>
              </w:rPr>
              <w:t xml:space="preserve"> daļā un ceturtajā daļā un 8.</w:t>
            </w:r>
            <w:r w:rsidR="00000000" w:rsidRPr="00000000" w:rsidDel="00000000">
              <w:rPr>
                <w:vertAlign w:val="superscript"/>
                <w:rtl w:val="0"/>
              </w:rPr>
              <w:t xml:space="preserve">2</w:t>
            </w:r>
            <w:r w:rsidR="00000000" w:rsidRPr="00000000" w:rsidDel="00000000">
              <w:rPr>
                <w:rtl w:val="0"/>
              </w:rPr>
              <w:t xml:space="preserve"> panta trešajā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Līdz 2028. gada 1. janvārim, kad Ministru kabineta 2016. gada 25. oktobra noteikumi Nr. 691 "Noteikumi par patērētāja kreditēšanu", Ministru kabineta 2011. gada 29. marta noteikumi Nr. 245 "Noteikumi par speciālo atļauju (licenci) patērētāju kreditēšanas pakalpojumu sniegšanai", Ministru kabineta 2016. gada 13. decembra noteikumi Nr.772 "Kredīta starpnieka un kredīta starpnieka pārstāvju reģistrācijas noteikumi" un Ministru kabineta 2014. gada 21. oktobra noteikumi Nr.648 "Noteikumi par distances līgumu par finanšu pakalpojumu sniegšanu"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šajos noteikumos lietoto nosaukumu "Patērētāju tiesību aizsardzības centrs" saprot nosaukumu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nepiemēro minēto noteikumu regulējumu par valsts nodevu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Līdz grozījumu izdarīšanai  Ministru kabineta 1999. gada 18. maija noteikumos Nr.178 "Kārtība, kādā norādāmas preču un pakalpojumu cenas" šo noteikumu ievērošanu attiecībā uz finanšu pakalpojumu jomu kontrolē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Patērētāju tiesību aizsardzības centra līdz 2026. gada 31. decembrim izsniegtās speciālās atļaujas (licences) patērētāju kreditēšanas pakalpojumu sniegšanai, kā arī kredīta starpnieku, to pārstāvju reģistrācija paliek spēkā arī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Patērētāju kreditēšanas pakalpojumu sniedzēji, kredīta starpnieki, kredīta starpnieka pārstāvji, kuriem saskaņā ar šo likumu ir pienākums maksāt valsts nodevu par to darbības uzraudzību, nemaksā valsts nodevu par 2027.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2026. gada 31. decembrim saskaņā ar šo likumu uzsāktos un nepabeigtos kreditēšanas pakalpojuma sniedzēju licencēšanas, kredītu starpnieku un to pārstāvju reģistrēšanas, kā arī administratīvo lietu un administratīvo pārkāpumu lietu procesus finanšu pakalpojumu jomā Patērētāju tiesību aizsardzības centrs pabeidz, piemērojot tās tiesību normas, kas bija spēkā attiecīgā procesa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Patērētāju tiesību aizsardzības centrs līdz 2026. gada 31. decembrim nodod Latvijas Bankai dokumentus, informāciju, datubāzes un reģistrus, kas saistīti ar patērētāju kreditēšanas pakalpojumu sniedzēju, kredīta starpnieku un to pārstāvju uzraudzību, izņemot tos dokumentus un informāciju, kas nepieciešami iesākto procesu pabeigšanai. Dokumentus un informāciju, kas nepieciešami iesākto procesu pabeigšanai, nodod pēc šo procesu pabeigšanas.  Latvijas Banka trīs dienu laikā pēc informācijas no Patērētāju tiesību centra saņemšanas par reģistrācijas procesa pabeigšanu veic attiecīgās izmaiņas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Tiesvedībās finanšu pakalpojumu jomā, kas uzsāktas līdz 2027. gada 1. janvārim un nav pabeigtas līdz šā likuma grozījumu attiecībā uz finanšu pakalpojumu jomas uzraudzības nodošanu Latvijas Bankai spēkā stāšanās dienai, Patērētāju tiesību aizsardzības centrs saglabā atbildētāja statusu līdz dienai, kad stājas spēkā galīgais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Latvijas Banka, pārņemot patērētāju tiesību aizsardzības uzraudzības funkciju finanšu pakalpojumu jomā, neuzņemas atbildību par tiešiem vai netiešiem zaudējumiem, kas izriet no prasījumiem attiecībā uz Patērētāju tiesību aizsardzības centra pieņemtajiem lēmumiem vai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54.punktu. Atbilstoši likumprojekta anotācijai ir paredzēts PTAC budžeta samazinājums sākot ar 2027.gada 1.janvāri atlaižot visus finanšu pakalpojumu uzraudzības darbiniekus, kā arī atbilstoši samazinot PTAC budžetu. Ņemot vērā, ka pēc 2026.gada 31.decembra PTAC vairs nebūs darbinieku, kas varētu profesionāli pabeigt ierosinātos procesus, nepieciešams precizēt punktu, paredzot, ka Latvijas Banka pārņem visas ierosinātās un uzsāktās administratīvās, administratīvo pārkāpumu, kā arī sūdzību un iesniegumu izskatīšanas lietas, turpinot to izskatīšanu vai arī pārskatīt budžeta samazināšanu PTAC.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Tiesvedības finanšu pakalpojumu jomā, kas uzsāktas līdz 2027. gada 1. janvārim un nav pabeigtas līdz šā likuma grozījumu attiecībā uz finanšu pakalpojumu jomas uzraudzības nodošanu Latvijas Bankai spēkā stāšanās dienai, pārņem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pants. "46. Šā likuma 8. panta 1.</w:t>
            </w:r>
            <w:r w:rsidR="00000000" w:rsidRPr="00000000" w:rsidDel="00000000">
              <w:rPr>
                <w:vertAlign w:val="superscript"/>
                <w:rtl w:val="0"/>
              </w:rPr>
              <w:t xml:space="preserve">5</w:t>
            </w:r>
            <w:r w:rsidR="00000000" w:rsidRPr="00000000" w:rsidDel="00000000">
              <w:rPr>
                <w:rtl w:val="0"/>
              </w:rPr>
              <w:t xml:space="preserve"> un 1.</w:t>
            </w:r>
            <w:r w:rsidR="00000000" w:rsidRPr="00000000" w:rsidDel="00000000">
              <w:rPr>
                <w:vertAlign w:val="superscript"/>
                <w:rtl w:val="0"/>
              </w:rPr>
              <w:t xml:space="preserve">6</w:t>
            </w:r>
            <w:r w:rsidR="00000000" w:rsidRPr="00000000" w:rsidDel="00000000">
              <w:rPr>
                <w:rtl w:val="0"/>
              </w:rPr>
              <w:t xml:space="preserve"> daļa,  8.</w:t>
            </w:r>
            <w:r w:rsidR="00000000" w:rsidRPr="00000000" w:rsidDel="00000000">
              <w:rPr>
                <w:vertAlign w:val="superscript"/>
                <w:rtl w:val="0"/>
              </w:rPr>
              <w:t xml:space="preserve">2</w:t>
            </w:r>
            <w:r w:rsidR="00000000" w:rsidRPr="00000000" w:rsidDel="00000000">
              <w:rPr>
                <w:rtl w:val="0"/>
              </w:rPr>
              <w:t xml:space="preserve"> panta ceturtā un piektā daļa, 24. panta trešā daļa, 25.</w:t>
            </w:r>
            <w:r w:rsidR="00000000" w:rsidRPr="00000000" w:rsidDel="00000000">
              <w:rPr>
                <w:vertAlign w:val="superscript"/>
                <w:rtl w:val="0"/>
              </w:rPr>
              <w:t xml:space="preserve">3 </w:t>
            </w:r>
            <w:r w:rsidR="00000000" w:rsidRPr="00000000" w:rsidDel="00000000">
              <w:rPr>
                <w:rtl w:val="0"/>
              </w:rPr>
              <w:t xml:space="preserve">pants, 26.</w:t>
            </w:r>
            <w:r w:rsidR="00000000" w:rsidRPr="00000000" w:rsidDel="00000000">
              <w:rPr>
                <w:vertAlign w:val="superscript"/>
                <w:rtl w:val="0"/>
              </w:rPr>
              <w:t xml:space="preserve">1</w:t>
            </w:r>
            <w:r w:rsidR="00000000" w:rsidRPr="00000000" w:rsidDel="00000000">
              <w:rPr>
                <w:rtl w:val="0"/>
              </w:rPr>
              <w:t xml:space="preserve"> panta desmitās daļas 5. punkts un X nodaļa, kā arī grozījumi šā likuma 8.</w:t>
            </w:r>
            <w:r w:rsidR="00000000" w:rsidRPr="00000000" w:rsidDel="00000000">
              <w:rPr>
                <w:vertAlign w:val="superscript"/>
                <w:rtl w:val="0"/>
              </w:rPr>
              <w:t xml:space="preserve">2</w:t>
            </w:r>
            <w:r w:rsidR="00000000" w:rsidRPr="00000000" w:rsidDel="00000000">
              <w:rPr>
                <w:rtl w:val="0"/>
              </w:rPr>
              <w:t xml:space="preserve"> panta otrajā daļā, 24. panta otrajā daļā, 25. panta ceturtajā daļā, 26.</w:t>
            </w:r>
            <w:r w:rsidR="00000000" w:rsidRPr="00000000" w:rsidDel="00000000">
              <w:rPr>
                <w:vertAlign w:val="superscript"/>
                <w:rtl w:val="0"/>
              </w:rPr>
              <w:t xml:space="preserve">2</w:t>
            </w:r>
            <w:r w:rsidR="00000000" w:rsidRPr="00000000" w:rsidDel="00000000">
              <w:rPr>
                <w:rtl w:val="0"/>
              </w:rPr>
              <w:t xml:space="preserve"> pantā, 26.</w:t>
            </w:r>
            <w:r w:rsidR="00000000" w:rsidRPr="00000000" w:rsidDel="00000000">
              <w:rPr>
                <w:vertAlign w:val="superscript"/>
                <w:rtl w:val="0"/>
              </w:rPr>
              <w:t xml:space="preserve">13</w:t>
            </w:r>
            <w:r w:rsidR="00000000" w:rsidRPr="00000000" w:rsidDel="00000000">
              <w:rPr>
                <w:rtl w:val="0"/>
              </w:rPr>
              <w:t xml:space="preserve"> pantā, 26.</w:t>
            </w:r>
            <w:r w:rsidR="00000000" w:rsidRPr="00000000" w:rsidDel="00000000">
              <w:rPr>
                <w:vertAlign w:val="superscript"/>
                <w:rtl w:val="0"/>
              </w:rPr>
              <w:t xml:space="preserve">14</w:t>
            </w:r>
            <w:r w:rsidR="00000000" w:rsidRPr="00000000" w:rsidDel="00000000">
              <w:rPr>
                <w:rtl w:val="0"/>
              </w:rPr>
              <w:t xml:space="preserve"> pantā, 26.</w:t>
            </w:r>
            <w:r w:rsidR="00000000" w:rsidRPr="00000000" w:rsidDel="00000000">
              <w:rPr>
                <w:vertAlign w:val="superscript"/>
                <w:rtl w:val="0"/>
              </w:rPr>
              <w:t xml:space="preserve">15</w:t>
            </w:r>
            <w:r w:rsidR="00000000" w:rsidRPr="00000000" w:rsidDel="00000000">
              <w:rPr>
                <w:rtl w:val="0"/>
              </w:rPr>
              <w:t xml:space="preserve"> pantā, 26.</w:t>
            </w:r>
            <w:r w:rsidR="00000000" w:rsidRPr="00000000" w:rsidDel="00000000">
              <w:rPr>
                <w:vertAlign w:val="superscript"/>
                <w:rtl w:val="0"/>
              </w:rPr>
              <w:t xml:space="preserve">16</w:t>
            </w:r>
            <w:r w:rsidR="00000000" w:rsidRPr="00000000" w:rsidDel="00000000">
              <w:rPr>
                <w:rtl w:val="0"/>
              </w:rPr>
              <w:t xml:space="preserve"> pantā, 26.</w:t>
            </w:r>
            <w:r w:rsidR="00000000" w:rsidRPr="00000000" w:rsidDel="00000000">
              <w:rPr>
                <w:vertAlign w:val="superscript"/>
                <w:rtl w:val="0"/>
              </w:rPr>
              <w:t xml:space="preserve">17</w:t>
            </w:r>
            <w:r w:rsidR="00000000" w:rsidRPr="00000000" w:rsidDel="00000000">
              <w:rPr>
                <w:rtl w:val="0"/>
              </w:rPr>
              <w:t xml:space="preserve"> pantā, 26.</w:t>
            </w:r>
            <w:r w:rsidR="00000000" w:rsidRPr="00000000" w:rsidDel="00000000">
              <w:rPr>
                <w:vertAlign w:val="superscript"/>
                <w:rtl w:val="0"/>
              </w:rPr>
              <w:t xml:space="preserve">18</w:t>
            </w:r>
            <w:r w:rsidR="00000000" w:rsidRPr="00000000" w:rsidDel="00000000">
              <w:rPr>
                <w:rtl w:val="0"/>
              </w:rPr>
              <w:t xml:space="preserve"> pantā, 26.</w:t>
            </w:r>
            <w:r w:rsidR="00000000" w:rsidRPr="00000000" w:rsidDel="00000000">
              <w:rPr>
                <w:vertAlign w:val="superscript"/>
                <w:rtl w:val="0"/>
              </w:rPr>
              <w:t xml:space="preserve">21</w:t>
            </w:r>
            <w:r w:rsidR="00000000" w:rsidRPr="00000000" w:rsidDel="00000000">
              <w:rPr>
                <w:rtl w:val="0"/>
              </w:rPr>
              <w:t xml:space="preserve"> pantā, 26.</w:t>
            </w:r>
            <w:r w:rsidR="00000000" w:rsidRPr="00000000" w:rsidDel="00000000">
              <w:rPr>
                <w:vertAlign w:val="superscript"/>
                <w:rtl w:val="0"/>
              </w:rPr>
              <w:t xml:space="preserve">27</w:t>
            </w:r>
            <w:r w:rsidR="00000000" w:rsidRPr="00000000" w:rsidDel="00000000">
              <w:rPr>
                <w:rtl w:val="0"/>
              </w:rPr>
              <w:t xml:space="preserve"> pantā  26.</w:t>
            </w:r>
            <w:r w:rsidR="00000000" w:rsidRPr="00000000" w:rsidDel="00000000">
              <w:rPr>
                <w:vertAlign w:val="superscript"/>
                <w:rtl w:val="0"/>
              </w:rPr>
              <w:t xml:space="preserve">28</w:t>
            </w:r>
            <w:r w:rsidR="00000000" w:rsidRPr="00000000" w:rsidDel="00000000">
              <w:rPr>
                <w:rtl w:val="0"/>
              </w:rPr>
              <w:t xml:space="preserve"> pantā, 26.</w:t>
            </w:r>
            <w:r w:rsidR="00000000" w:rsidRPr="00000000" w:rsidDel="00000000">
              <w:rPr>
                <w:vertAlign w:val="superscript"/>
                <w:rtl w:val="0"/>
              </w:rPr>
              <w:t xml:space="preserve">31</w:t>
            </w:r>
            <w:r w:rsidR="00000000" w:rsidRPr="00000000" w:rsidDel="00000000">
              <w:rPr>
                <w:rtl w:val="0"/>
              </w:rPr>
              <w:t xml:space="preserve"> pantā un 37. pantā saistībā ar finanšu pakalpojumu jomas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Šā likuma 9. panta 2.</w:t>
            </w:r>
            <w:r w:rsidR="00000000" w:rsidRPr="00000000" w:rsidDel="00000000">
              <w:rPr>
                <w:vertAlign w:val="superscript"/>
                <w:rtl w:val="0"/>
              </w:rPr>
              <w:t xml:space="preserve">1</w:t>
            </w:r>
            <w:r w:rsidR="00000000" w:rsidRPr="00000000" w:rsidDel="00000000">
              <w:rPr>
                <w:rtl w:val="0"/>
              </w:rPr>
              <w:t xml:space="preserve"> daļa, 10. panta trešā daļa un 17. panta 3.</w:t>
            </w:r>
            <w:r w:rsidR="00000000" w:rsidRPr="00000000" w:rsidDel="00000000">
              <w:rPr>
                <w:vertAlign w:val="superscript"/>
                <w:rtl w:val="0"/>
              </w:rPr>
              <w:t xml:space="preserve">1</w:t>
            </w:r>
            <w:r w:rsidR="00000000" w:rsidRPr="00000000" w:rsidDel="00000000">
              <w:rPr>
                <w:rtl w:val="0"/>
              </w:rPr>
              <w:t xml:space="preserve"> daļa un grozījumi šā likuma 8. panta 1.</w:t>
            </w:r>
            <w:r w:rsidR="00000000" w:rsidRPr="00000000" w:rsidDel="00000000">
              <w:rPr>
                <w:vertAlign w:val="superscript"/>
                <w:rtl w:val="0"/>
              </w:rPr>
              <w:t xml:space="preserve">3</w:t>
            </w:r>
            <w:r w:rsidR="00000000" w:rsidRPr="00000000" w:rsidDel="00000000">
              <w:rPr>
                <w:rtl w:val="0"/>
              </w:rPr>
              <w:t xml:space="preserve"> daļā un ceturtajā daļā un 8.</w:t>
            </w:r>
            <w:r w:rsidR="00000000" w:rsidRPr="00000000" w:rsidDel="00000000">
              <w:rPr>
                <w:vertAlign w:val="superscript"/>
                <w:rtl w:val="0"/>
              </w:rPr>
              <w:t xml:space="preserve">2</w:t>
            </w:r>
            <w:r w:rsidR="00000000" w:rsidRPr="00000000" w:rsidDel="00000000">
              <w:rPr>
                <w:rtl w:val="0"/>
              </w:rPr>
              <w:t xml:space="preserve"> panta trešajā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Līdz 2028. gada 1. janvārim, kad Ministru kabineta 2016. gada 25. oktobra noteikumi Nr. 691 "Noteikumi par patērētāja kreditēšanu", Ministru kabineta 2011. gada 29. marta noteikumi Nr. 245 "Noteikumi par speciālo atļauju (licenci) patērētāju kreditēšanas pakalpojumu sniegšanai", Ministru kabineta 2016. gada 13. decembra noteikumi Nr.772 "Kredīta starpnieka un kredīta starpnieka pārstāvju reģistrācijas noteikumi" un Ministru kabineta 2014. gada 21. oktobra noteikumi Nr.648 "Noteikumi par distances līgumu par finanšu pakalpojumu sniegšanu"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šajos noteikumos lietoto nosaukumu "Patērētāju tiesību aizsardzības centrs" saprot nosaukumu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nepiemēro minēto noteikumu regulējumu par valsts nodevu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Līdz grozījumu izdarīšanai  Ministru kabineta 1999. gada 18. maija noteikumos Nr.178 "Kārtība, kādā norādāmas preču un pakalpojumu cenas" šo noteikumu ievērošanu attiecībā uz finanšu pakalpojumu jomu kontrolē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Patērētāju tiesību aizsardzības centra līdz 2026. gada 31. decembrim izsniegtās speciālās atļaujas (licences) patērētāju kreditēšanas pakalpojumu sniegšanai, kā arī kredīta starpnieku, to pārstāvju reģistrācija paliek spēkā arī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Patērētāju kreditēšanas pakalpojumu sniedzēji, kredīta starpnieki, kredīta starpnieka pārstāvji, kuriem saskaņā ar šo likumu ir pienākums maksāt valsts nodevu par to darbības uzraudzību, nemaksā valsts nodevu par 2027.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2026. gada 31. decembrim saskaņā ar šo likumu uzsāktos un nepabeigtos kreditēšanas pakalpojuma sniedzēju licencēšanas, kredītu starpnieku un to pārstāvju reģistrēšanas, kā arī administratīvo lietu un administratīvo pārkāpumu lietu procesus finanšu pakalpojumu jomā Patērētāju tiesību aizsardzības centrs pabeidz, piemērojot tās tiesību normas, kas bija spēkā attiecīgā procesa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Patērētāju tiesību aizsardzības centrs līdz 2026. gada 31. decembrim nodod Latvijas Bankai dokumentus, informāciju, datubāzes un reģistrus, kas saistīti ar patērētāju kreditēšanas pakalpojumu sniedzēju, kredīta starpnieku un to pārstāvju uzraudzību, izņemot tos dokumentus un informāciju, kas nepieciešami iesākto procesu pabeigšanai. Dokumentus un informāciju, kas nepieciešami iesākto procesu pabeigšanai, nodod pēc šo procesu pabeigšanas.  Latvijas Banka trīs dienu laikā pēc informācijas no Patērētāju tiesību centra saņemšanas par reģistrācijas procesa pabeigšanu veic attiecīgās izmaiņas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Tiesvedībās finanšu pakalpojumu jomā, kas uzsāktas līdz 2027. gada 1. janvārim un nav pabeigtas līdz šā likuma grozījumu attiecībā uz finanšu pakalpojumu jomas uzraudzības nodošanu Latvijas Bankai spēkā stāšanās dienai, Patērētāju tiesību aizsardzības centrs saglabā atbildētāja statusu līdz dienai, kad stājas spēkā galīgais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Latvijas Banka, pārņemot patērētāju tiesību aizsardzības uzraudzības funkciju finanšu pakalpojumu jomā, neuzņemas atbildību par tiešiem vai netiešiem zaudējumiem, kas izriet no prasījumiem attiecībā uz Patērētāju tiesību aizsardzības centra pieņemtajiem lēmumiem vai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46.punktu ar atsauci arī uz 26.</w:t>
            </w:r>
            <w:r w:rsidR="00000000" w:rsidRPr="00000000" w:rsidDel="00000000">
              <w:rPr>
                <w:vertAlign w:val="superscript"/>
                <w:rtl w:val="0"/>
              </w:rPr>
              <w:t xml:space="preserve">32</w:t>
            </w:r>
            <w:r w:rsidR="00000000" w:rsidRPr="00000000" w:rsidDel="00000000">
              <w:rPr>
                <w:rtl w:val="0"/>
              </w:rPr>
              <w:t xml:space="preserve"> pantu un 26.</w:t>
            </w:r>
            <w:r w:rsidR="00000000" w:rsidRPr="00000000" w:rsidDel="00000000">
              <w:rPr>
                <w:vertAlign w:val="superscript"/>
                <w:rtl w:val="0"/>
              </w:rPr>
              <w:t xml:space="preserve">33</w:t>
            </w:r>
            <w:r w:rsidR="00000000" w:rsidRPr="00000000" w:rsidDel="00000000">
              <w:rPr>
                <w:rtl w:val="0"/>
              </w:rPr>
              <w:t xml:space="preserve">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attēlota neatbilstoši un nesniedz rada maldīgu priekšstatu par PTAC un LB funkcijām. Nepieciešams papildināt anotāciju, skaidri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novērojama funkciju dublēšanās ar Latvijas Banku, jo PTAC ir vienīgā patērētāju tiesību aizsardzības iestāde, kas īsteno patērētāju tiesību uzraudzību pār visiem finanšu pakalpojumu sniedzējiem. PTAC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kreditētājus (patēriņa, līzinga, lombardu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Nelicencētos patērētāju kreditētājus (izņēmumi no licencēšanas);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Parādu ārpustiesas atgūšanas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Virtuālo valūtu, ieguldījumu brokeru sabiedrību, krājaizdevu sabiedrību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tagad īsteno, uzrauga un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Kredīta kopējo izmaksu atbilstību normatīvajiem aktiem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pieejamības uzraudzībā galvenā problemātika saistīta tieši ar Latvijas Bankas pašreizējā kompetencē esošo kredītiestāžu politiku. Patērētāju kreditētāji pateicoties mūsdienu inovatīvo tehnoloģiju izmantošanai jau tagad nodrošina pakalpojumu pieejamību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nodevās par patērētāju kreditētāju uzraudzību valsts budžets saņem vidēji 2 miljonus EUR, savukārt 11 darbinieku tiešās izmaksas gada laikā ir nepilni 400 tūkstoši EUR. Līdz ar to zaudējumi valsts budžetam kā minimums būs pusotrs miljons EUR gadā. Līdztekus uzsverams, ka Latvijas Banka, piemērojot likumprojekta 8.panta 1.</w:t>
            </w:r>
            <w:r w:rsidR="00000000" w:rsidRPr="00000000" w:rsidDel="00000000">
              <w:rPr>
                <w:vertAlign w:val="superscript"/>
                <w:rtl w:val="0"/>
              </w:rPr>
              <w:t xml:space="preserve">6</w:t>
            </w:r>
            <w:r w:rsidR="00000000" w:rsidRPr="00000000" w:rsidDel="00000000">
              <w:rPr>
                <w:rtl w:val="0"/>
              </w:rPr>
              <w:t xml:space="preserve"> daļā norādīto maksu (Kapitālsabiedrība, kas saņēmusi speciālo atļauju (licenci), maksā Latvijas Bankai 5000 euro gadā un papildus līdz 0,033 procentiem (ieskaitot) no kapitālsabiedrības vidējās patērētājiem izsniegto kredītu kredītportfeļa apjoma vērtības katrā kalendārā gada ceturksnī, bet kopējā tās maksa Latvijas Bankai nepārsniedz 100 000 euro gadā.) pēc 2025.gada statistikas datiem saņemtu 1`582`965.70  EUR. Proti, reforma pēc būtības paredz pusotra miljona EUR atņemšanu valsts budžetam un novirzīšanu Latvijas Bankai, ienākumiem būtiski pārsniedzot tās izmaksas. Līdztekus atzīmējams, ka 2025.gadā no patērētāju kreditēšanas nozares valsts budžeta ieņēmumi bija 2 991 250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saistībā ar Patērētāju kolektīvajām prasībām, norādot, ka lai arī Patērētāju tiesību aizsardzības centrs turpinās būt vienotais kontaktpunkts saziņai ar Eiropas Komisiju, kā arī Patērētāju tiesību aizsardzības centrs joprojām izskatīs iesniegumus par lūgumu piešķirt kvalificētās institūcijas statusu pastāvīgi vai konkrētas patērētāju kolektīvās prasības celšanai, vienlaikus ne tikai Patērētāju tiesību aizsardzības centrs, bet arī Latvijas Banka nodrošinās finanšu līdzekļus patērētāju kolektīvo prasību saistītajiem izdevumiem, jo turpmāk Latvijas Banka īstenos patērētāju tiesību aizsardzības uzraudzību finanšu pakalpojumu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norādot, ka šā likumprojekta izpratnē Latvijas Banka uzskatāma par uzraudzības un kontroles iestādi attiecībā uz finanšu pakalpojumu jomu, lai nepārprotami ir skaidrs, ka kvalificētā institūcija šajā jautājumā vēršas pie Latvijas Bankas, nevis Patērētāju tiesību aizsardzības centra ar iesniegumu par patērētāju tiesību pārkāpuma novēršanu atbilstoši šā likuma 26.</w:t>
            </w:r>
            <w:r w:rsidR="00000000" w:rsidRPr="00000000" w:rsidDel="00000000">
              <w:rPr>
                <w:vertAlign w:val="superscript"/>
                <w:rtl w:val="0"/>
              </w:rPr>
              <w:t xml:space="preserve">15</w:t>
            </w:r>
            <w:r w:rsidR="00000000" w:rsidRPr="00000000" w:rsidDel="00000000">
              <w:rPr>
                <w:rtl w:val="0"/>
              </w:rPr>
              <w:t xml:space="preserve"> pantam.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nav izvērtēti alternatīvie risinājumi, kā arī prasību un izmaksu samērīgums pret ieguvumiem, lai gan pašā anotācijā deklarēta valsts pārvaldes resursu efektivizācija. Trūkst gan kvalitatīva, gan kvantitatīva pamatojuma tam, ka likumprojektā paredzētais risinājums ir samērīgākais no iespējamiem, kā arī nav salīdzināta esošā sūdzību izskatīšanas modeļa faktiskā ietekme ar plānotā modeļa iespējamiem ieguvumiem un izmaksām. Lūgums aizpildīt anotācijas 1.3.apakšdaļu, norādot, alternatīvo risinājumu izvērtējumu, kā arī prasību un izmaksu samērīguma izvērtējumu pret ieguvumiem. Ja tas netiek izvērtēts,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atkārtots visas likumprojektu pakotnes kopīgais mērķis, taču trūkst padziļināta skaidrojuma par konkrētā likumprojekta patstāvīgo nozīmi un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nav sniegts vērtējums par to, vai institucionālās kompetences pārdale var radīt izmaiņas likumprojekta regulējamās jomas uzraudzības pieejā, interpretācijā vai sankciju piemērošanas praksē finanšu pakalpojumu jomā. Šāds skaidrojums ir būtisks tiesiskās noteiktības un tiesiskās paļāvības principu nodrošināšanai gan patērētājiem, gan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ir norādīta uzraudzības iestādes maiņa, tomēr nav paskaidrots, kā Latvijas Banka praktiski īstenos likuma regulējamās jomas uzraudzību, un vai tās uzraudzības prakse atšķirsies no līdzšinējās PTAC īstenotās prakses. Anotācijā nav vērtēts, vai reformas rezultātā var rasties izmaiņas sankciju piemērošanas intensitātē, vienveidībā vai praksē.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analizēts, vai Latvijas Bankas kā finanšu tirgus uzraugošās institūcijas primārās funkcijas sader ar konkrētā likuma mērķi aizsargāt patērētāju kā vājāko līguma pusi. Risinājuma aprakstā nav vērtēts, kā tiks nodrošināts, ka patērētāju tiesību aizsardzība nekļūst sekundāra salīdzinājumā ar finanšu tirgus stabilitātes mērķiem, un ka patērētāju tiesību aizsardzība tiks nodrošināta vismaz līdzšinējā kvalitātē. Anotācijā nav veikts vērtējums par to, kā plānotais risinājums ietekmēs patērētāju tiesību aizsardzības efektivitāti, tostarp sūdzību izskatīšanas ātrumu, pieejamību un rezultātu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kādas iekšējas institucionālas un organizatoriskas izmaiņas Latvijas Bankā ir paredzētas, lai nodrošinātu efektīvu konkrētā likuma izpildi un patērētāju tiesību aizsardzību, kā arī nodrošinātu iestādi ar nepieciešamajām zināšanām par patērētāju aizsardzību un konkrētā likuma regulējamo, un par šā likuma uzraudzību.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pietiekami izvērtētas deleģējuma izmaiņu sekas tiesību aktu sistēmai un tiesiskās noteiktības jautājumi, pārejot no Ministru kabineta noteikta regulējuma uz Latvijas Bankas noteikumiem konkrētā likuma regulētajā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vai un kā Latvijas Bankas izdodamie noteikumi pēc satura aizstās līdzšinējo Ministru kabineta regulējumu. Vēršam uzmanību, ka uz šī deleģējuma pamata ir izdoti konkrēti Ministru kabineta noteikumi ar kuriem ir pārņemtas ES tiesību aktu prasības. Līdz ar to, anotācija nepieciešams arī 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iestāde tiks noteikta kā atbildīgā Eiropas Savienības tiesību aktu pārņemšanas un ieviešanas kontroles informācijas sistēmas (ESTAPIKS) datubāzē kā atbildīgā par konkrētā ES tiesību akta prasību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šāda deleģējuma pārveidošana ietekmēs politikas veidotāja (piemēram, Ekonomikas ministrijas vai Finanšu ministrijas) atbildību un kontroli pār tiesību akta saturu, un pareizu ES tiesību akta pārņemšanu? Kā šāda kontrole tiks nodrošināta?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un kā Latvijas Bankas noteikumi tiks saskaņoti ar attiecīgajiem politikas veidotājiem?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praktiski tiks nodrošināts paziņošanas pienākums Eiropas Komisijai par attiecīgo ES tiesību aktu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konkrēti iestāde turpmāk pārstāvēs Latviju par attiecīgo ES tiesību aktu Padomes darba grupās?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konkrēti iestāde iesaistīsies jautājumos par pārkāpuma procedūras risināšanu, piemēram, gadījumos, ja tiks konstatēts, ka ES tiesību akts nav pareizi vai savlaicīgi pārņemts?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apakšsadaļā nav vērtēta pēcpārbaudes (ex-post) izvērtējuma nepieciešamība, lai gan likumprojekts ietver būtiskas izmaiņas institucionālajā patērētāju tiesību aizsardzības īstenošanā likuma regulētajā jomā. Nav sniegts pamatojums, kādēļ šādas izmaiņas neprasa vēlākas ietekmes izvērtēšanu, kas ļautu objektīvi novērtēt, vai paredzētais risinājums nodrošina efektīvāku patērētāju tiesību aizsardzību un vai nerodas neparedzētas negatīvas sekas patērētājiem. Lūgums aizpildīt anotācijas 1.5.apakšdaļu. Ja tas netiek izvērtēts, norādīt, kādēļ tas netiek izvērtēts.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Padomes 1998.gada 29.jūlija lēmumam 98/415/EK par to, kā valstu iestādes apspriežas ar Eiropas Centrālo banku par tiesību aktu projektiem, likumprojekts nosūtāms saskaņošanai Eiropas Centrālajai bankai. Lūdzam skaidrot, kurā brīdī likumprojekts tiks nosūtīts saskaņošanai Eiropas Centrālajai bankai, cik ilgā laikā šādi projekti tiek izskatīti un kā Eiropas Centrālās bankas atzinums ietekmē likumprojekta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neskar ietekmējamās sabiedrības grupas, tomēr no anotācijas satura izriet, ka regulējuma izmaiņas tieši skar patērētājus, komersantus un citas juridiskas personas. Līdz ar to secinājums par sabiedrības grupu neietekmēšanu nav pietiekami pamatots un neatbilst pašā anotācijā aprakstītajai regulējuma ietekmei. Alternatīvi ir nepieciešams skaidrot, kādas sabiedrības grupas tiks skartas un kā likumprojekts tās ietekmēs. Attiecīgi atbilstoši Ministru kabineta 2021. gada 7. septembra noteikumu Nr.617 "Tiesību akta projekta sākotnējās ietekmes izvērtēšanas kārtība" 15.punktam lūdzam aizpildīt Anotācijas 2.sadaļu. Atgādinām, ka atbilstoši Valsts sekretāru sanāksmes 2026.gada 2.aprīļa protokola Nr.10 3.§ "Administratīvā sloga aprēķināšana" tiesību aktu izstrādes procesā ir jāņem vērā, ka administratīvā sloga monetārais novērtējums primāri veicams attiecībā uz fiziskām un juridiskām personām. Tomēr tas neatceļ, ka  administratīvais slogs ir vērtējams arī citām mērķa grupām, tajā skaitā valsts un pašvaldību iestādēm. Tāpat norādām, ka administratīvās izmaksas un atbilstības izmaksas aprēķina katrai mērķgrupai atsevišķi.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skaidri norādot, ka nosakot uzraudzības nodevas samaksu Latvijas Bankai, pēc 2025.gada statistikas datiem Latvijas Banka saņemtu 1`582`965.70  EUR. Proti, reforma pēc būtības paredz pusotra miljona EUR atņemšanu valsts budžetam un novirzīšanu Latvijas Bankai. Turklāt ņemams vērā, ka Anotācijas 7.3.punktā norādīts, ka Latvijas Bankas izmaksas darbiniekiem būs nedaudz mazākas kā PTAC, proti – 352`800 EUR. Tādejādi tiks radīti tīrie ienākumi Latvijas Bankai 1`230`165,70 EUR apmērā, kas netiks izmantoti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atzīmējams, ka patiesībai neatbilst iepriekš izteiktie apgalvojumi, ka patērētāju kreditēšanas pakalpojumu sniedzējiem samazinās administratīvās izmaksas. Tā kā likumprojektā noteikts cits finansēšanas modelis, dažām sabiedrībām izmaksu pieaugums būs 45`000 EUR gadā, sasniedzot maksimālo slieksni 100`000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2.3. esošo aprēķinu, jo nedz licences maksa, nedz uzraudzības izmaksas (kontroles funkcijas izpilde) pēc definīcijas nav administratīvās izmaksas (administratīvās izmaksas naudas un laika izteiksmē ir izmaksas, ko rada informācijas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pienākumi un to izpilde).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jāizmanto paplašinātais standarta izmaksu modelis. Metodiskie materiāli aprēķinu veikšanai pieejami šeit: https://www.mk.gov.lv/lv/metodiskas-rokasgramatas-un-apmacibas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budžeta samazināšanu Patērētāju tiesību aizsardzības centram vai grozīt likumprojektu, ņemot vērā, ka projekts paredz finansējuma atcelšanu no 2027.gada 1.janvāra, lai gan likumprojekts un saistošie likumprojekti paredz PTAC pienākumu pabeigt ierosinātās lietas un iesniegumu izskatīšanu pēc 2027.gada 1.janvāra. Sk. piemēram, pārejās noteikumu projekta 52.punktu. Norādāms, ka 11 kvalificētu un augsti specializētu darbinieku atlaišana un budžeta samazināšana ietekmēs izskatāmo lietu virzību un bez profesionāliem darbiniekiem nebūs iespējama ierosināto procesu kvalitatīva pabeigšana un lietu pabeigšana tiesās. Līdz ar to nepieciešams noteikt, ka ”Iesniegumus un sūdzības par šā likuma un citu patērētāju tiesību aizsardzības normatīvo aktu pārkāpumiem, kurus Patērētāju tiesību aizsardzības centrs saņēmis līdz 2026. gada 31. decembrim, līdz šā likuma grozījumu attiecībā uz finanšu pakalpojumu jomas uzraudzības nodošanu Latvijas Bankai spēkā stāšanās dienai, no 2027.gada 1.janvāra pārņem un turpina izskatīt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anotācijai ir paredzēts PTAC budžeta samazinājums sākot ar 2027.gada 1.janvāri, atlaižot visus 11 darbiniekus, kā arī atbilstoši samazinot PTAC budžetu. Jāņem vērā, ka gadījumā, ja Latvijas Banka nepārņem darbiniekus, tad saskaņā ar Valsts un pašvaldību institūciju amatpersonu un darbinieku atlīdzības likuma 17.pantu darbiniekiem, ar kuriem tiek izbeigtas amata (dienesta, darba) attiecības sakarā ar institūcijas vai amata likvidāciju, amatpersonu (darbinieku) skaita samazināšanu, izmaksā atlaišanas pabalstu no 1-4 mēnešalgām. Līdz ar to nepieciešams papildināt anotāciju ar 11 darbinieku atlaišanas izmaksām un paredzēt nepieciešamo budžetu PTAC.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arī Ministru kabineta 2023.gada 12.decembra noteikumus Nr.729 "Noteikumi par finansējuma piešķiršanu kvalificētajai institūcijai kolektīvo prasību celšanai" kā ar likumprojekta regulējumu saistītu tiesību aktu, veikt nepieciešamos grozījumus tajā un pievienot projektu pakotnei, ievērojot sabiedrības līdzdalības procesa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minētos Ministru kabineta noteikumus pievienot kā saistīto tiesību aktu projektu visiem tiesību aktiem, kuri tiek grozīti šajā pakotnē.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sabiedrības līdzdalība nav piemērojama, jo likumprojektā ietvertie grozījumi esot tehniska rakstura, tomēr ar likumprojektu tiek mainīta institucionālā kompetence likuma regulētajā jomā. Šādas izmaiņas pēc būtības ir institucionālas un ietekmē patērētāju tiesību aizsardzības īstenošanas modeli, nevis aprobežojas ar redakcionāliem vai formāliem precizējumiem, līdz ar to anotācijā sniegtais pamatojums grozījumu “tehniskam raksturam” nav pietiekams, lai pamatotu sabiedrības līdzdalības nepiemērošanu.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starpinstitucionālā saskaņošana pēc būtības nav pielīdzināma atklātam sabiedrības līdzdalības procesam. Tāpat iepriekšēja informatīvā ziņojuma apspriešana neaizstāj sabiedrības līdzdalību konkrēta likumprojekta izstrādē, un anotācijā nav izvērtēts, vai šajā procesā izteiktie viedokļi attiecās arī uz konkrētā likuma grozījumiem. Kā starpinstitucionālā saskaņošana nodrošina līdzvērtīgu iespēju plašākam sabiedrības lokam, tostarp individuāliem patērētājiem, paust viedokli par būtiskām izmaiņām patērētāju tiesību aizsardzības uzraudzības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6. sadaļu, norādot korekto pamatojumu sabiedrības līdzdalības procesa neveikšanai. Alternatīvi lūdzam uzsākt sabiedrības līdzdalības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likumprojekta 8.panta 1</w:t>
            </w:r>
            <w:r w:rsidR="00000000" w:rsidRPr="00000000" w:rsidDel="00000000">
              <w:rPr>
                <w:vertAlign w:val="superscript"/>
                <w:rtl w:val="0"/>
              </w:rPr>
              <w:t xml:space="preserve">.6</w:t>
            </w:r>
            <w:r w:rsidR="00000000" w:rsidRPr="00000000" w:rsidDel="00000000">
              <w:rPr>
                <w:rtl w:val="0"/>
              </w:rPr>
              <w:t xml:space="preserve"> daļā norādīto maksu (Kapitālsabiedrība, kas saņēmusi speciālo atļauju (licenci), maksā Latvijas Bankai 5000 euro gadā un papildus līdz 0,033 procentiem (ieskaitot) no kapitālsabiedrības vidējās patērētājiem izsniegto kredītu kredītportfeļa apjoma vērtības katrā kalendārā gada ceturksnī, bet kopējā tās maksa Latvijas Bankai nepārsniedz 100 000 euro gadā.) pēc 2025.gada statistikas datiem saņemtu 1`582`965.70  EUR. Proti, reforma pēc būtības paredz pusotra miljona EUR atņemšanu valsts budžetam un novirzīšanu Latvijas Bankai. Līdztekus atzīmējams, ka 2025.gadā no patērētāju kreditēšanas nozares valsts budžeta ieņēmumi bija 2 991 250 EUR. Savukārt Anotācijas 7.3.punktā norādīts, ka Latvijas Bankas izmaksas darbiniekiem būs nedaudz mazākas kā PTAC, proti – 352`800 EUR. Lūdzam papildināt, uz kāda izvērtējuma pamata Latvijas Banka ir paredzējusi, ka PTAC funkcijas finanšu pakalpojumu uzraudzības jomā spēs izpildīt 6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kāpēc uzraudzības maksa likumprojektā ir noteikta 0,033 procentiem (ieskaitot) no kapitālsabiedrības vidējās patērētājiem izsniegto kredītu kredītportfeļa apjoma vērtības katrā kalendārā gada ceturksnī, tādejādi radot ienākumus Latvijas Bankai 1`230`165,70 EUR apmērā, kas netiks izmantoti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atzīmēt, ka tā kā likumprojektā noteikts cits finansēšanas modelis, dažām sabiedrībām izmaksu pieaugums būs 45`000 EUR gadā, sasniedzot maksimālo slieksni 100`000 EUR gadā (pēc 2025.gada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7.3. esošo aprēķinu, jo uzraudzības/kontroles funkciju izmaksas pēc definīcijas nav atbilstības izmaksas (atbilstības izmaksas ir izmaksas, kas mērķa grupām – fiziskām un juridiskām personām, valsts vai pašvaldību institūcijām – rodas, lai nodrošinātu projektā ietverto atbilstības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atbilstību prasībām un ar tām saistītajām izmaksām fiziskām un juridiskām personām, valsts un pašvaldību institūcijām, saskaņā ar Ministru kabineta 2021. gada 7. septembra noteikumu Nr. 617 “Tiesību akta projekta sākotnējās ietekmes izvērtēšanas kārtība” 18.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Vadlīnijās tiesību akta sākotnējās ietekmes novērtēšanai un novērtējuma ziņojuma sagatavošanai vienotajā TAP portālā (pieejamas Ministru kabineta tīmekļvietnē - https://www.mk.gov.lv/lv/media/16905/download?attachment) 25.-26.lp ietvertos norādījumus atbilstības izmaksu monetārā novērtējuma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7.4.5. un 7.4.5., sniedzot izvērstu skaidrojumu, kādi procesi un kādā veidā tiks efektivizēti un optimizēti.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uz kāda izvērtējuma pamata Latvijas Banka ir paredzējusi, ka PTAC funkcijas finanšu pakalpojumu uzraudzības jomā spēs izpildīt 6 darbinieki. Visu patērētājiem piedāvāto finanšu pakalpojumu uzraudzību no patērētāju tiesību aizsardzības viedokļa, ņemot vērā plašo funkciju klāstu, kuru pašlaik īsteno PTAC, nav iespējams īstenot ar 6 darbiniekiem. PTAC gada laikā finanšu pakalpojumu jomā vidēji izskata 300-400 parakstītus iesniegumus, sniedz 2000 konsultāciju komersantiem un patērētājiem, kā arī izskata ap 150 administratīvajām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ietverti izdevumi IT infrastruktūras pielāgošanai, kā arī nav ietverti izdevumi par sūdzību, iesniegumu un patērētāju kolektīvo interešu lietu izskatīšanu. Nekādi  aprēķini par Latvijas Bankas plānotajiem izdevumiem minēto funkciju pildīšanai nav veikti, līdz ar to, nav nekāda pamata apgalvot, ka Latvijas Banka veiks attiecīgās funkcijas par mazākiem resursiem un būs efektīvāka. Pēc PTAC aprēķiniem IT sistēmu izstrādes izmaksas pārsniegtu 1 miljonu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norādot izmaksu slogu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radīs papildu izmaksas komersantiem (darbinieku apmācības, iekšējo procedūru un kārtību grozījumi, licencēšanas procedūru pārskatīšana, jaunu atskaišu formātu ieviešana, grozījumi līgumos, pirmslīguma informācijā, IT sistēmu pārstrāde u.c.), kas varētu izmaksāt no 100 tūkst. līdz 500 tūkstoši EUR vienam komersantam. Attiecīgi 38 licencēto patērētāju kreditētāju kopējās izmaksas iespējamās reformas ieviešanai sastādīs no 3,8 milj. līdz 19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pamatā ir iepriekš iegūta informācija dažādās uzraudzības lietās, kurās komersanti skaidrojoši attiecīgu IT sistēmu pielāgošanas izmaksas, kas veicamas saskaņā ar PTAC pieprasījumiem. Piemēram, 2025.gadā PTAC panāca tā saukto “ātro izmaksu komisiju” atcelšanu komersantiem, kas tādas piemēroja. Komersanti tikšanās laikā skaidroja IT izmaksas un citu resursu izmaksas atkarībā no termiņa par šādu IT sistēmu pielāgošanu. Vēršam uzmanību, ka plānotā reforma pēc būtības skar visu komersantu darbības pamatus, tāpēc ar lielu ticamību būtu nepieciešams veikt biznesa un klientu vadības sistēmu tehnisko un funkcionālo auditu, lai identificētu un pielāgotu nepieciešamās funkcionalitātes. Sistēmu izmaiņas prasītu izmaiņas esošajā biznesa loģikā, kas saistīta ar uzraudzības funkcionalitāti, nodrošinot, ka nav neparedzētu sistēmas un datu apstrādes kļūdu pēc izmaiņu veikšanas. Šādas apjomīgas izmaiņas prasītu arī datubāžu pārvaldības sistēmu auditu. Turklāt visu izmaiņu ietvaros nepieciešams nodrošināt arī datu integritāti visās saistītajās sistēmās, lai nodrošinātu korektu komersanta darbību. Līdztekus, daļa sabiedrību darbojas grupu līmenī, kur plānotās izmaiņas būtu būtiski lielākas un var skart plašāku sistēmu apjomu, katrai nepieciešama testēšana nolūkā novērst iespējamu negatīvu ietekmi uz citu valstu sistēmu ievainojamību.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ievērojot, ka anotācijā nav sniegta informācija par to, kādas tieši sistēmas izmanto Latvijas Banka, kā notiek datu nodošana, apstrāde, kādā apmērā, biežumā un cik ilgā laika posmā, applēsts, ka komersantu izmaksas minimāli varētu sastādīt 100 000 EUR vienam komersantam, savukārt gadījumā, ja sistēmu pielāgošana izrādītos īpaši sarežģīta, atkarībā no pielāgojamo sistēmu daudzuma un datu apjoma, aplēsts, ka maksimālās izmaksas vienam komersantam var sasniegt 500 000 EUR. Tādejādi kopsummā iegūstam izmaksas 3,8 – 19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25.</w:t>
            </w:r>
            <w:r w:rsidR="00000000" w:rsidRPr="00000000" w:rsidDel="00000000">
              <w:rPr>
                <w:b w:val="1"/>
                <w:vertAlign w:val="superscript"/>
                <w:rtl w:val="0"/>
              </w:rPr>
              <w:t xml:space="preserve">3</w:t>
            </w:r>
            <w:r w:rsidR="00000000" w:rsidRPr="00000000" w:rsidDel="00000000">
              <w:rPr>
                <w:b w:val="1"/>
                <w:rtl w:val="0"/>
              </w:rPr>
              <w:t xml:space="preserve"> pants. Ziņošana Latvijas Bankai par iespējamiem un faktiskiem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iespējamiem un faktiskiem šā likuma un uz šā likuma pamata izdoto Latvijas Bankas noteikumu pārkāpumiem ikviena persona var ziņot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izveido un uztur efektīvu un uzticamu ziņošanas sistēmu, kas ietver vismaz šādus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tiek saņemti ziņojumi par pārkāpumiem un kādā veicama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normatīvajiem aktiem par fizisko personu datu aizsardzību — tādas personas datu aizsardzību, kura ziņo par pārkāpumu, kā arī tādas fiziskās personas datu aizsardzību, kura tiek turēta aizdomās par pārkāpuma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noteikumus par tās personas konfidencialitātes nodrošināšanu, kura ziņo par pārkāpumu, izņemot gadījumu, kad šādu ziņu izpaušanu paredz Latvijas Republikas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nosaka prasības un kārtību ziņošanai par iespējamiem un faktiskiem šā likuma un uz šā likuma pamata izdoto Latvijas Bankas noteikumu pārkāpumiem un saņemto ziņojumu apstrādes kārtību.".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šī ziņošanas mehānismu izveides prasība, kas izriet no ES regulējuma, ir horizontāla, tāpēc tās regulējums būtu jāiekļauj Latvijas Bankas likumā, nevis katrā attiecīgajā normatīvajā aktā, par kura pārkāpumu iespējams ziņot LB. Lūdzam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aizstāt trešajā daļā vārdus "centrs ir tiesīgs" ar vārdiem "centrs un Latvijas Banka ir tiesīgi".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26.</w:t>
            </w:r>
            <w:r w:rsidR="00000000" w:rsidRPr="00000000" w:rsidDel="00000000">
              <w:rPr>
                <w:vertAlign w:val="superscript"/>
                <w:rtl w:val="0"/>
              </w:rPr>
              <w:t xml:space="preserve">13</w:t>
            </w:r>
            <w:r w:rsidR="00000000" w:rsidRPr="00000000" w:rsidDel="00000000">
              <w:rPr>
                <w:rtl w:val="0"/>
              </w:rPr>
              <w:t xml:space="preserve"> pantam noslodzes datu apjoms, ko ir tiesīgs saņemt PTAC, ir mazāks nekā tas ir šobrīd noteikts Latvijas Bankai citos normatīvajos aktos. Līdz ar to ir nepieciešams izvērtēt, vai nepieciešams precizēt Elektronisko sakaru likuma 106.panta pirmo daļu, kā arī attiecīgi precizēt Ministru kabineta 2022. gada 4. oktobra noteikumu Nr. 616 "Elektronisko sakaru komersantam pieprasīto noslodzes datu nodošanas kārtība"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16.04.2026.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16.04.2026.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