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Atbilstoši Valsts kancelejas 2021.gadā izstrādātajām vadlīnijām tiesību akta projekta sākotnējās ietekmes novērtēšanai un novērtējuma ziņojuma sagatavošanai vienotajā tiesību aktu izstrādes un saskaņošanas portālā (pieejamas šeit: https://www.mk.gov.lv/sites/mk/files/media_file/tap_anotacija_vadlinijas.pdf ),ja tiesību akta projektam nav ietekmes uz kādu no  uzskaitītajiem izvērtēšanas aspektiem, atbildot uz jautājumu “Vai projekts skar šo jomu”, jāizvēlas atbilde “Nē”. Ņemot vērā, ka anotācijas 8.sadaļā nav ietverta informācija, vai projekta tiesiskais regulējums rada ietekmi uz noteiktajām jomām, anotācijas 8.sadaļa būtu aizpildāma, ietverot atbilstošas atbildes.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17.02.2025.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17.02.2025.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Atzinumi_24-TA-3336.docx</dc:title>
</cp:coreProperties>
</file>

<file path=docProps/custom.xml><?xml version="1.0" encoding="utf-8"?>
<Properties xmlns="http://schemas.openxmlformats.org/officeDocument/2006/custom-properties" xmlns:vt="http://schemas.openxmlformats.org/officeDocument/2006/docPropsVTypes"/>
</file>