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21-TA-421: Noteikumu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"Radioiekārtu atbilstības novērtēšanas, piedāvāšanas tirgū, uzstādīšanas, lietošanas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projekta 88., 89. un 90. punktu, ņemot vērā to, ka tie neatbilst Ministru kabinetam dotajam pilnvarojumam. No Elektronisko sakaru likuma 33. panta otrajā daļā un likuma "Par atbilstības novērtēšanu" 7. panta pirmajā daļā Ministru kabinetam dotā pilnvarojuma izriet tiesības noteikt prasības radioiekārtām un to piedāvāšanai tirgū, uzstādīšanai un lietošanai. Citu materiāltiesisko regulējumu atbilstoši Ministru kabinetam dotajam pilnvarojumam, kas ir projekta izdošanas tiesiskais pamats, Ministru kabinetam nav tiesības noteikt. Savukārt projekta 88. punktā ir ietverts materiāltiesisks regulējums, un projekta 89. un 90. punktā ietvertajam regulējumam ir tieša sasaiste ar projekta 88. punktā noteikto materiāltiesisko regulējumu. Ievērojot minēto, projekta 88., 89. un 90. punkts neatbilst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apakšsadaļas 1. tabulā norādīts, ka projekta 6.3. apakšpunktā pārņemts Eiropas Parlamenta un Padomes 2014. gada 16. aprīļa Direktīvas 2014/53/ES par dalībvalstu tiesību aktu saskaņošanu attiecībā uz radioiekārtu pieejamību tirgū un ar ko atceļ Direktīvu 1999/5/EK (turpmāk - Direktīva 2014/53/ES) I pielikuma 3.punkts. Minētā direktīvas vienība paredz: "</w:t>
            </w:r>
            <w:r w:rsidR="00000000" w:rsidRPr="00000000" w:rsidDel="00000000">
              <w:rPr>
                <w:i w:val="1"/>
                <w:rtl w:val="0"/>
              </w:rPr>
              <w:t xml:space="preserve">Turpmāk uzskaitītais aviācijas aprīkojums gadījumos, kad uz minēto aprīkojumu attiecas </w:t>
            </w:r>
            <w:r w:rsidR="00000000" w:rsidRPr="00000000" w:rsidDel="00000000">
              <w:rPr>
                <w:i w:val="1"/>
                <w:u w:val="single"/>
                <w:rtl w:val="0"/>
              </w:rPr>
              <w:t xml:space="preserve">Eiropas Parlamenta un Padomes Regulas (ES) 2018/1139 darbības joma </w:t>
            </w:r>
            <w:r w:rsidR="00000000" w:rsidRPr="00000000" w:rsidDel="00000000">
              <w:rPr>
                <w:i w:val="1"/>
                <w:rtl w:val="0"/>
              </w:rPr>
              <w:t xml:space="preserve">un tas ir paredzēts vienīgi izmantošanai gaisā: [..]</w:t>
            </w:r>
            <w:r w:rsidR="00000000" w:rsidRPr="00000000" w:rsidDel="00000000">
              <w:rPr>
                <w:rtl w:val="0"/>
              </w:rPr>
              <w:t xml:space="preserve">". Attiecīgi aicinām atbilstoši minētajai direktīvas vienībai precizēt projekta 6.3. apakšpunktā norādīto atsauci uz regulu, proti, norādot uz </w:t>
            </w:r>
            <w:r w:rsidR="00000000" w:rsidRPr="00000000" w:rsidDel="00000000">
              <w:rPr>
                <w:u w:val="single"/>
                <w:rtl w:val="0"/>
              </w:rPr>
              <w:t xml:space="preserve">regulas darbības jomu</w:t>
            </w:r>
            <w:r w:rsidR="00000000" w:rsidRPr="00000000" w:rsidDel="00000000">
              <w:rPr>
                <w:rtl w:val="0"/>
              </w:rPr>
              <w:t xml:space="preserve">, nevis regulas 138. pantu, vai arī skaidrot, kāpēc nepieciešams atsaukties uz regulas 138. pantu. Tāpat aicinām izvērtēt, vai projekta 6.3. apakšpunktā korekti pārņemta minētā direktīvas vienība, ņemot vērā tajā ietverto frāzi "</w:t>
            </w:r>
            <w:r w:rsidR="00000000" w:rsidRPr="00000000" w:rsidDel="00000000">
              <w:rPr>
                <w:i w:val="1"/>
                <w:u w:val="single"/>
                <w:rtl w:val="0"/>
              </w:rPr>
              <w:t xml:space="preserve">gadījumos, kad</w:t>
            </w:r>
            <w:r w:rsidR="00000000" w:rsidRPr="00000000" w:rsidDel="00000000">
              <w:rPr>
                <w:i w:val="1"/>
                <w:rtl w:val="0"/>
              </w:rPr>
              <w:t xml:space="preserve"> uz minēto aprīkojumu attiecas [..] Regulas (ES) 2018/1139 darbības joma</w:t>
            </w:r>
            <w:r w:rsidR="00000000" w:rsidRPr="00000000" w:rsidDel="00000000">
              <w:rPr>
                <w:rtl w:val="0"/>
              </w:rPr>
              <w:t xml:space="preserve">" (salīdzinājumam - projekta 6.3. apakšpunktā ir norāde vienkārši uz radioiekārtām, uz kurām attiecas konkrētā regula). Attiecīgi aicinām izvērtēt un veikt precizējumus vai sniegt pamatotu skaidrojumu, kādēļ precizējumi nav nepieciešami un kā nodrošināta pilnīga un korekta direktīvas normas pārņemšana.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projektā un anotācijā nelietot nepieteiktus saīsinājumus (piemēram, "Regula (ES) 2016/679"). Atgādinām, ka saskaņā ar juridiskās tehnikas prasībām visus lietotos saīsinājumus, rakstot pirmo reizi, atšifrē, iekavās norādot to turpmāko lietojumu atbilstoši Ministru kabineta 2009. gada 3. februāra noteikumu Nr. 108 „Normatīvo aktu projektu sagatavošanas noteikumi” (turpmāk - noteikumi Nr. 108) 124. punkta prasībām. Saistībā ar minēto arī atgādinām, ka atsauces uz Eiropas Savienības tiesību aktiem noformē atbilstoši noteikumu Nr. 108 4. nodaļai. Attiecīgi aicinām precizēt projektu, ievērojot iepriekš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15. punktā iekšējo atsauci. Proti, projekta 15. punktā ietverta atsauce tikai uz projekta 12. punktu, taču, šķiet, jābūt ietvertai atsaucei uz projekta 12.-14. punktu, ņemot vērā, ka visos minētajos projekta punktos saskaņā ar anotācijas 5.4. apakšsadaļas 1. tabulā sniegto informāciju ir ieviests Komisijas 2021. gada 29. oktobra Deleģētās regulas (ES) 2022/30, kas papildina Eiropas Parlamenta un Padomes Direktīvu 2014/53/ES attiecībā uz minētās direktīvas 3. panta 3. punkta pirmās daļas d), e) un f) punktā norādīto pamatprasību piemērošanu, 1. pants. Attiecīgi aicinām izvērtēt un precizēt projektu vai sniegt pamatotu skaidrojumu, kādēļ precizējums nav nepieciešams. Līdzīgi aicinām izvērtēt arī projekta 16. punktu kontekstā ar minētās regulas 2.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anotācijas 5.4. apakšsadaļas 1. tabulu un nodrošināt pilnīgu un korektu informāciju par Eiropas Savienības tiesību aktu prasību pārņemšanu vai ieviešanu projektā. Piemēram: 1) Direktīvas 2014/53/ES 26. panta 4. punkta trešajā daļā ir tikai viens teikums, attiecīgi aicinām precizēt informāciju, kas sniegta tabulā par 26. panta 4. punkta pārņemšanu; 2) Eiropas Parlamenta un Padomes 2022. gada 23. novembra Direktīvā (ES) Nr. 2022/2380, ar ko groza Direktīvu 2014/53/ES par dalībvalstu tiesību aktu saskaņošanu attiecībā uz radioiekārtu pieejamību tirgū, ir </w:t>
            </w:r>
            <w:r w:rsidR="00000000" w:rsidRPr="00000000" w:rsidDel="00000000">
              <w:rPr>
                <w:u w:val="single"/>
                <w:rtl w:val="0"/>
              </w:rPr>
              <w:t xml:space="preserve">pielikums</w:t>
            </w:r>
            <w:r w:rsidR="00000000" w:rsidRPr="00000000" w:rsidDel="00000000">
              <w:rPr>
                <w:rtl w:val="0"/>
              </w:rPr>
              <w:t xml:space="preserve">, kas papildina Direktīvu 2014/53/ES ar Ia pielikumu. Attiecīgi aicinām korekti norādīt informāciju par Direktīvas 2022/2380 pielikuma pārņemšanu, piemēram, šādi: “</w:t>
            </w:r>
            <w:r w:rsidR="00000000" w:rsidRPr="00000000" w:rsidDel="00000000">
              <w:rPr>
                <w:u w:val="single"/>
                <w:rtl w:val="0"/>
              </w:rPr>
              <w:t xml:space="preserve">Direktīvas 2022/2380 pielikums</w:t>
            </w:r>
            <w:r w:rsidR="00000000" w:rsidRPr="00000000" w:rsidDel="00000000">
              <w:rPr>
                <w:rtl w:val="0"/>
              </w:rPr>
              <w:t xml:space="preserve"> (Direktīvas 2014/53/ES Ia pielikuma II daļas ievads)”.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25.01.2024.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25.01.2024.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Atzinumi_21-TA-421.docx</dc:title>
</cp:coreProperties>
</file>

<file path=docProps/custom.xml><?xml version="1.0" encoding="utf-8"?>
<Properties xmlns="http://schemas.openxmlformats.org/officeDocument/2006/custom-properties" xmlns:vt="http://schemas.openxmlformats.org/officeDocument/2006/docPropsVTypes"/>
</file>