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 panta otro daļu ar vārdiem "un preču vispārēju drošumu".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kur tieši (teikuma daļa, vārds u.tml.) ir nepieciešams papildināt 4. panta otro daļu, t.i., pēc kura vārda (vārdiem) ir nepieciešams ietvert papildinājumu "un preču vispārēju drošumu".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5</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Neskarot citus tiesiskās aizsardzības līdzekļus, saimnieciskās darbības veicējs, kurš organizē preces atsaukšanu no gala lietotājiem, nodrošina arī patērētāju tiesību īstenošanu atbilstoši patērētāju tiesību aizsardzību regulējošiem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3. pantā ietvertā norāde ir deklaratīva un no tās neizriet konkrēti attiecīgā subjekta pienākumi iepretim patērētājiem (tostarp no šīs norādes neizriet, vai saimnieciskās darbības veicēja pienākumi izriet no regulas vai nacionālajiem normatīvajiem aktiem), tādēļ lūdzam izvērtēt un nepieciešamības gadījumā izslēgt minēto pantu vai precizēt to, likumprojekta anotācijā (5.4. sadaļas 1. tabulā) skaidrojot, kā paredzēts novērst šķēršļus Eiropas Parlamenta un Padomes Regulas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2023/988), 37. pantā ietverto prasību tiešai piemērošanai (piem., regulā paredzēti konkrēti tiesiskās aizsardzības līdzekļi, kuri uzņēmējam jāpiedāvā, kas pirmšķietami pilnībā neizriet no nacionālajiem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administratīvo pārkāpumu formulējumu, skaidri un izsmeļoši norādot visas nepieciešamās administratīvā pārkāpuma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visus nodaļā noteiktos administratīvos pārkāpumus, skaidri nosakot administratīvā pārkāpuma pazīmes. Proti, par kādu darbību vai bezdarbību personai var tikt piemērota administratīvā atbildība. Jebkurai personai, izlasot administratīvo pārkāpumu, būtu jāspēj saprast, par kādu tieši darbību vai bezdarbību tai var tikt piemērotas sodoša rakstura sankcijas. Šobrīd projektā definētās administratīvā pārkāpuma pazīmes netiek skaidri noteiktas.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administratīvo pārkāpumu noteikt, neizmantojot iekšējās atsauces. Ir pieļaujamas informatīvas atsauces uz regulām, bet pārkāpuma pazīmēm jābūt skaidrām arī tad, ja šo atsauci izņemtu.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un atbalstāms administratīvais pārkāpums, kas satur, piemēram, tādu pārkāpuma pazīmi  kā "par normatīvajos aktos noteikto pienākumu nepildīšanu" vai "preču aprites kārtības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normas ir blanketas normas, jo tās ietver norādi uz citos normatīvos aktos iekļautajām tiesību normām (priekšrakstiem) (</w:t>
            </w:r>
            <w:r w:rsidR="00000000" w:rsidRPr="00000000" w:rsidDel="00000000">
              <w:rPr>
                <w:i w:val="1"/>
                <w:rtl w:val="0"/>
              </w:rPr>
              <w:t xml:space="preserve">sk. Normatīvo aktu projektu izstrādes rokasgrāmata.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projektā ietvertajam pārkāpuma aprakstam, lai arī ļoti vispārīgi, bet ir jāsatur pārkāpuma pazīmes.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w:t>
            </w:r>
            <w:r w:rsidR="00000000" w:rsidRPr="00000000" w:rsidDel="00000000">
              <w:rPr>
                <w:i w:val="1"/>
                <w:rtl w:val="0"/>
              </w:rPr>
              <w:t xml:space="preserve">lat. val. – 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jāievēro, ka pārkāpuma saturs ir jānoteic formālajam likumdevējam. Nav pieļaujama situācija, ka pārkāpuma saturu būtībā noteiktu Ministru kabinets vai iestāde. Līdz ar to likumā jābūt precīzi un izsmeļoši noteiktām pārkāpuma pazīmēm, lai persona varētu saprast pārkāpuma būtību un paredzēt vismaz sodīšanas risku. Ja pārkāpumu konkretizē Ministru kabineta noteikumi, tad likumā jābūt ārkārtīgi precīzam pilnvarojumam (kādus jautājumus Ministru kabinets var regulēt, kādi kritēriji, vadlīnijas u. tml. tam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spēkā esošajā regulējumā ir sastopamas līdzīgas tiesību normas, nav būtiskas nozīmes. Pirmkārt, valsts pārvaldei ir pienākums pastāvīgi pārbaudīt un pilnveidot normatīvo regulējumu (sal. sk. Valsts pārvaldes iekārtas likuma 10. panta 10. daļu). Otrkārt,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(Jolanta Laura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tādu preču laišanu tirgū, kurām nav apliecināta Regulā Nr. 2023/988 noteiktā riska analīzes veikšana, piemēro naudas sodu fiziskajai personai no piecdesmit sešām līdz simt četrdesmit naudas soda vienībām, bet juridiskajai personai — no simt četrdesmit līdz astoņsimt sešdesmit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likumprojektā administratīvā pārkāpuma sastāvu noteikšanai un citos gadījumos (sk. likumprojekta 4. pantu) nepieciešams pārrakstīt (t.i., inkorporēt likumprojekta tekstā) daļu regulas teksta, tad lūdzam sniegt atbilstošu skaidrojumu par minēto likumprojekta anotācijā, kā arī lūdzam izvērtēt un likumprojektā attiecīgā teksta daļu pārrakstīt identiski regulā noteiktajam, ievērojot arī iepriekš šajā atzinumā minēto par administratīvo pārkāpumu formulēšanu (piem., likumprojekta 8. pantā norādīts uz preču laišanu tirgū, kurām nav apliecināta Regulā Nr. 2023/988 noteiktā riska analīzes veikšana, savukārt regulā pirmšķietami nav norādīts uz riska analīzes veikšanas apliecināšanu, bet ir norādīts uz minētās analīzes veikšanu un tehniskās dokumentācijas izstrādi u.tml.), jo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pirmajā daļā vārdus "un trešajā" aizstāt ar vārdiem "trešajā, sestajā, septītajā, astotajā un devītajā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likumprojekta 8. pantam no likuma ir plānots izslēgt 19. panta otro daļu, likumprojekta 9. panta pirmo teikumu pēc vārdiem "pirmajā daļā" ir nepieciešams papildināt ar vārdiem  "izslēgt vārdu "otrajā"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nodrošināt, ka likumprojektā ir sniegts skaidrojums par katra būtiskā grozījuma būtību, nepieciešamību un mērķi, tostarp 7. pantā, kā arī 8. pantā saistībā ar attiecīgā likuma 19. panta pirmās daļas izslēgšanu.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ir  norādīts, ka nav izvērtēti alternatīvie risinājumi. Saistībā ar minēto vēršam uzmanību, ka būtisks projekta sākotnējās ietekmes izvērtēšanas solis ir identificēt un izvērtēt visus iespējamos risinājumus mērķa sasniegšanai,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w:t>
            </w:r>
            <w:r w:rsidR="00000000" w:rsidRPr="00000000" w:rsidDel="00000000">
              <w:rPr>
                <w:i w:val="1"/>
                <w:rtl w:val="0"/>
              </w:rPr>
              <w:t xml:space="preserve">Vadlīnijas tiesību akta projekta sākotnējās ietekmes novērtēšanai un novērtējuma ziņojuma sagatavošanai Vienotajā tiesību aktu izstrādes un saskaņošanas portālā. Rīga: Valsts kanceleja, 2021, 11. lpp</w:t>
            </w:r>
            <w:r w:rsidR="00000000" w:rsidRPr="00000000" w:rsidDel="00000000">
              <w:rPr>
                <w:rtl w:val="0"/>
              </w:rPr>
              <w:t xml:space="preserve">.). Līdz ar to alternatīvie risinājumi ir apsverami jebkurā gadījumā. Turklāt, vismaz saistībā ar administratīvās atbildības regulējumu, tā ir neatņemama administratīvās atbildības nepieciešamības un pieļaujamības kritēriju sastāvdaļa (piemēram, jau projekta anotācijā pieminētais administratīvā procesa prioritātes princips). Ievērojot minēto, lūdzam atbilstoši papildināt likumprojekta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anotācijā par katru pārkāpumu nav iekļauts pilnvērtīgs administratīvās atbildības nepieciešamības un pieļaujamības kritēriju izvērtējums, pārkāpuma satura skaidrojums (tostarp norādītas korespondējošās normas), kā arī soda veida un apmēra izvēles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likumprojekta 8. pantā paredzēto pārkāpumu satura skaidrojumu un no likuma izrietošās korespondējošās tiesību normas, par kuru neievērošanu būs paredzēta administratīvā atbildība. Papildus lūdzam likumprojekta anotāciju papildināt ar administratīvās atbildības nepieciešamības un pieļaujamības kritēriju izvērtējumu par katru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(procesa)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administratīvā akta (rīkojuma, procesa) prioritātes princips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w:t>
            </w:r>
            <w:r w:rsidR="00000000" w:rsidRPr="00000000" w:rsidDel="00000000">
              <w:rPr>
                <w:i w:val="1"/>
                <w:rtl w:val="0"/>
              </w:rPr>
              <w:t xml:space="preserve">Foundations of European Criminal Law. Norel Neagu (Ed.). Bucureşti: Editura C.H. Beck, 2014, p. 67</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aizliegts paredzēt administratīvos sodus par administratīvā akta labprātīgu neizpildīšanu. Ja lieta ir uzsākta administratīvajā procesā, tad šajā procesā tā arī ir jāpabeidz, ja nepieciešams, izmantojot administratīvā akta piespiedu izpildes līdzekļus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likumprojekta anotācijā iekļaut soda veida un apmēra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izvērstāk skaidrot likumprojekta 5. un 6. pantā ietvertā pilnvarojuma būtību un nepieciešamību. T.i., lūdzam visupirms izvērtēt, vai attiecīgs pilnvarojums vēl ir vajadzīgs, papildus norādot anotācijā (piem., 5.4. sadaļas 1. tabulā) arī konkrētas regulas Nr. 2023/988 vienības, kuru ieviešanu paredzēts ar attiecīgajiem Ministru kabineta noteikumiem nodrošināt, un vai nepieciešamo regulējumu (likumprojekta 5. panta gadījumā) nevar ietvert pašā likuma tekstā. Savukārt, ja tiek nolemts pilnvarojumu saglabāt, lūdzam likumprojekta anotācijas 4. sadaļā skaidrot pamatojumu šādai izvēlei, kā arī aprakstīt Ministru kabineta noteikumu saturisko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papildināt likumprojekta anotācijas 5.4. sadaļas 1. tabulu ar informāciju par regulas Nr. 2023/988 3. panta 24. punktā, 17. panta 2. punktā, 24. panta 1. punktā, 33. panta 4. punktā, 37. pantā un 44. pantā (kontekstā ar 9. panta 5., 6. punktu, 11. panta 3. punktu, 19. pantā u.tml.) ietverto prasību ieviešanu vai sniegt skaidrojumu,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minētajā tabulā ailē par rīcības brīvības izmantošanu skaidrot, vai paredzēts izmantot minētās regulas 38. panta 1. punktā ietverto rīcības brīvību, attiecīgā gadījumā norādot, kā rīcības brīvību paredzēts izmantot, un sniedzot attiecīgus apsvērumus, kādēļ rīcības brīvību ir vai nav paredzēts izmantot.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ietekmi uz pārvaldes funkcijām vai uzdevumiem. Ievērojot, ka likumprojektā ir iekļauti jauni administratīvie pārkāpumi, tas var ietekmēt vismaz uzdevumu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 (Jolanta Laura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1996, 18. nr.; 1999, 23. nr.; 2002, 23. nr.; 2004, 9. nr.; 2008, 24. nr.; 2009, 14. nr.; Latvijas Vēstnesis, 2010, 43. nr.; 2013, 106. nr.; 2019, 219. nr.; 2023, 42. nr.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un norādīt, kādā likumā tiek izdarīti grozījumi (proti, norādīt attiecīgā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norādīto saīsinājumu "regula Nr. 2019/1020", ņemot vērā, ka ar likumprojektu tiek ieviestas citas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"Risinājuma apraksts" iekļauto informāciju attiecībā uz terminu "administratīvā procesa ietekmes līdzekļi", jo saskaņā ar Administratīvā procesa likumu, ja administratīvā akta adresāts labprātīgi to neizpilda, piemērojami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vai tika veikti izvērtējumi vai pētījumi, kas pamato likumprojekta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iemeslu, kādēļ netiks veikts pēcpārbaudes (</w:t>
            </w:r>
            <w:r w:rsidR="00000000" w:rsidRPr="00000000" w:rsidDel="00000000">
              <w:rPr>
                <w:i w:val="1"/>
                <w:rtl w:val="0"/>
              </w:rPr>
              <w:t xml:space="preserve">ex-post</w:t>
            </w:r>
            <w:r w:rsidR="00000000" w:rsidRPr="00000000" w:rsidDel="00000000">
              <w:rPr>
                <w:rtl w:val="0"/>
              </w:rPr>
              <w:t xml:space="preserve">) izvērtējums.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25.09.2024.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25.09.2024.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