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2.2.2. specifiskā atbalsta mērķa “Pārejas uz aprites ekonomiku veicināšana” 2.2.2.3. pasākuma "Notekūdeņu dūņu pārstrāde"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kas pēc projekta iesnieguma apstiprināšanas ir finansējuma saņēmējs, ir sabiedrisko ūdenssaimniecības pakalpojumu sniedzējs, ar kuru pašvaldība ir noslēgusi līgumu par sabiedrisko ūdenssaimniecības pakalpojumu sniegšanu, kas ietver pienākumu veikt notekūdeņu attīrīšanas procesā radušos notekūdeņu dūņu pārstrādi Dūņu centrā. Projekta iesniedzēja darbība norit atbilstoši Saimniecisko darbību statistiskās klasifikācijas Eiropas Kopienā (turpmāk – NACE) 2.1. redakcijai un atbilst E sadaļas 37. un 38. nodaļai.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Ūdenssaimniecības pakalpojuma likuma 1.panta 9. punktā sabiedriskie ūdenssaimniecības pakalpojumi, kas ietver arī šā paša likuma 7.</w:t>
            </w:r>
            <w:r w:rsidR="00000000" w:rsidRPr="00000000" w:rsidDel="00000000">
              <w:rPr>
                <w:vertAlign w:val="superscript"/>
                <w:rtl w:val="0"/>
              </w:rPr>
              <w:t xml:space="preserve">2</w:t>
            </w:r>
            <w:r w:rsidR="00000000" w:rsidRPr="00000000" w:rsidDel="00000000">
              <w:rPr>
                <w:rtl w:val="0"/>
              </w:rPr>
              <w:t xml:space="preserve"> punktā iekļauto notekūdeņu dūņu apsaimniekošanu (procesu kopumu, kas ietver notekūdeņu dūņu apstrādi, pārstrādi, utilizāciju un citas darbības ar notekūdeņu dūņām no to rašanās notekūdeņu attīrīšanas procesā līdz tālākai izmantošanai), aptver plašāku pakalpojumu loku, nekā tos, kas kvalificējas kā vispārēja tautsaimnieciskas nozīmes pakalpojums (VTNP) saskaņā ar Komisijas 2011. gada 20. decembra Lēmumu par Līguma par Eiropas Savienības darbību 106. panta 2. punkta piemērošanu valsts atbalstam attiecībā uz kompensāciju par sabiedriskajiem pakalpojumiem dažiem uzņēmumiem, kuriem uzticēts sniegt pakalpojumus ar vispārēju tautsaimniecisku nozīmi (turpmāk - Komisijas lēmums Nr. 2012/21/ES), noteikumos ir skaidri jānodala VTNP no citiem sabiedriskajiem pakalpojumiem, jo attiecībā uz atbalstu citiem pakalpojumiem, piešķirot atbalstu, būs jāpiemēro komercdarbības atbalsta regulējums, kas nav Komisijas lēmums Nr. 2012/21/ES, t.i. vai nu regula Nr. 651/2014, vai arī regula Nr. 2023/2831.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noteikumu projektu, skaidri nosakot, kuras darbības kvalificējas kā VTNP, un citas darbības (t.sk. sabiedriskie ūdenssaimniecības pakalpojumi), kuras nekvalificējas kā VTNP, piemēram, biogāzes ražošana (izņemot gadījumu, ja biogāze tiek patērēta tikai un vienīgi VTNP sniegšanai) vai komposta vai bioogļu ražošana lauksaimniekiem. Lūdzam arī precizēt anotāciju, iekļaujot tajā detalizētu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kas paredz, ka atbalsts, kas sniegts saskaņā ar Komisijas regulu Nr. 651/2014, nepārsniedz paziņošanas robežvērtības, kas atrunātas minētās regulas 4. panta 1. punkta "s"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sabiedrisko ūdenssaimniecības pakalpojuma sniedzējam ar pašvaldību ir noslēgts līgums par sabiedrisko ūdenssaimniecības pakalpojumu sniegšanu, kas ietver pienākumu veikt notekūdeņu attīrīšanas procesā radušos notekūdeņu dūņu pārstrādi. Līgumā iekļauta Ūdenssaimniecības pakalpojumu likuma 7. panta 1. un 2. punktā noteiktā informācija un papildus līgumā iekļaujama sekojoša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28.1. apakšpunktā minētā līgumā iekļaujamos nosacījumus ar nosacījumu, kas izriet no Komisijas lēmuma Nr. 2012/21/ES) 4. panta c) apakšpunkta - par jebkādu to ekskluzīvo vai īpašo tiesību būtību, kuras uzņēmumam piešķīrusi piešķīrējiestāde.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atbalsts tiek sniegts kā kompensācija par sabiedriskajiem pakalpojumiem uzņēmumiem, kuriem uzticēts sniegt pakalpojumus ar vispārēju tautsaimniecisku nozīmi, attiecināmas ir šo noteikumu </w:t>
            </w:r>
            <w:r w:rsidR="00000000" w:rsidRPr="00000000" w:rsidDel="00000000">
              <w:rPr>
                <w:rtl w:val="0"/>
              </w:rPr>
              <w:t xml:space="preserve">23.</w:t>
            </w:r>
            <w:r w:rsidR="00000000" w:rsidRPr="00000000" w:rsidDel="00000000">
              <w:rPr>
                <w:rtl w:val="0"/>
              </w:rPr>
              <w:t xml:space="preserve"> punktā paredzētās darbības un ar to īstenošanai saistītās </w:t>
            </w:r>
            <w:r w:rsidR="00000000" w:rsidRPr="00000000" w:rsidDel="00000000">
              <w:rPr>
                <w:rtl w:val="0"/>
              </w:rPr>
              <w:t xml:space="preserve">24.</w:t>
            </w:r>
            <w:r w:rsidR="00000000" w:rsidRPr="00000000" w:rsidDel="00000000">
              <w:rPr>
                <w:rtl w:val="0"/>
              </w:rPr>
              <w:t xml:space="preserve"> punktā noteiktās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29.punktu tā, lai skaidrs, kuras šo noteikumu 23. punktā atbalstāmo darbību īstenošanai nepieciešamās ieguldījumu izmaksas un ar to īstenošanai saistītās 24. punktā noteiktās izmaksas var tikt sniegtas kā kompensācija par sabiedriskajiem pakalpojumiem uzņēmumiem, kuriem uzticēts sniegt pakalpojumus ar vispārēju tautsaimniecisku nozīmi (VTNP), jo, piemēram, biogāzes ražošana (izņemot gadījumu, ja biogāze tiek patērēta tikai un vienīgi VTNP sniegšanai) vai komposta vai bioogļu ražošana lauksaimniekiem nebūs kvalificējam kā VTNP. Papildus lūdzam skatīt skaidrojumu iebildumā pie šo noteikumu 15.punkta, kā arī ņemot vērā, ka ar Ministru kabineta noteikumu projektu “Noteikumi par notekūdeņu dūņu apsaimniekošanas reģionālo centru darbību” (turpmāk - MK noteikumu projekts Nr. 24-TA-2801) tiek paredzēts noteikt vienotu kārtību, kādā tiek izveidoti un darbojas reģionālie dūņu apsaimniekošanas centri Latvijā, lūdzam nodrošināt sinerģiju ar iepriekš minētajiem noteikumiem, tai skaitā, ņemot vērā arī par tiem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30.2.3. finansējuma saņēmējs saražoto biogāzi izmanto tikai un vienīgi sabiedriskā ūdenssaimniecības pakalpojuma sniegšanai vismaz 80 % apmērā no kopējā notekūdeņu dūņu pārstrādes rezultātā iegūtā biogāzes apjoma, un to nav atļauts izmantot citām uzņēmuma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lēmumu Nr. 2012/21/ES atbalstam biogāzes ražošanai var piemērot tikai tajā gadījumā, ja saražotā biogāze tiek patērēta tikai un vienīgi vispārējas tautsaimnieciskas nozīmes pakalpojumu sniegšanai, nevis citām uzņēmuma darbībām. Attiecīgi lūdzam precizēt noteikumu projekta 30.2.3. apakšpunktu attiecībā uz gadījumiem, ja atbalstu sniedz saskaņā ar Komisijas lēmuma Nr. 2012/21/ES nosacījumiem, tā, lai skaidrs, ka Komisijas lēmumu Nr. 2012/21/ES atbalstam biogāzes ražošanai var piemērot tikai tajā gadījumā, ja saražotā biogāze tiek patērēta tikai un vienīgi vispārējas tautsaimnieciskas nozīmes pakalpojumu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netiek izpildīti šo noteikumu </w:t>
            </w:r>
            <w:r w:rsidR="00000000" w:rsidRPr="00000000" w:rsidDel="00000000">
              <w:rPr>
                <w:rtl w:val="0"/>
              </w:rPr>
              <w:t xml:space="preserve">30.</w:t>
            </w:r>
            <w:r w:rsidR="00000000" w:rsidRPr="00000000" w:rsidDel="00000000">
              <w:rPr>
                <w:rtl w:val="0"/>
              </w:rPr>
              <w:t xml:space="preserve"> punktā noteiktie nosacījumi, ieguldījumu izmaksas notekūdeņu dūņu pārstrādes iekārtās, kuru darbības rezultātā rodas biogāze, ir atbalstāmas saskaņā ar regulas Nr. 651/2014 41. pantu par šo noteikumu </w:t>
            </w:r>
            <w:r w:rsidR="00000000" w:rsidRPr="00000000" w:rsidDel="00000000">
              <w:rPr>
                <w:rtl w:val="0"/>
              </w:rPr>
              <w:t xml:space="preserve">23.1.5.</w:t>
            </w:r>
            <w:r w:rsidR="00000000" w:rsidRPr="00000000" w:rsidDel="00000000">
              <w:rPr>
                <w:rtl w:val="0"/>
              </w:rPr>
              <w:t xml:space="preserve"> apakšpunktā noteiktajām darbībām, un saskaņā ar regulas Nr. 2023/2831 nosacījumiem par šī noteikuma </w:t>
            </w:r>
            <w:r w:rsidR="00000000" w:rsidRPr="00000000" w:rsidDel="00000000">
              <w:rPr>
                <w:rtl w:val="0"/>
              </w:rPr>
              <w:t xml:space="preserve">24.</w:t>
            </w:r>
            <w:r w:rsidR="00000000" w:rsidRPr="00000000" w:rsidDel="00000000">
              <w:rPr>
                <w:rtl w:val="0"/>
              </w:rPr>
              <w:t xml:space="preserve"> punktā noteiktajām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skaidri nosakot izmaksas, kurām atbalsts plānots ar regulu Nr. 2023/2831, jo noteikumu projekta 24. punktā noteiktas izmaksas, kam atbalsts nekvalificējas kā komercdarbības atbalsts (24.4.apakšpunkts), savukārt, 24.2.apakšpunktā minētās  būvprojekta ekspertīzes, autoruzraudzības un būvuzraudzības (tai skaitā inženiertehniskās uzraudzības) izmaksas, ja ekspertīzes vai uzraudzības veikšanu nosaka būvniecības jomu regulējošie normatīvie akti, ja šīs izmaksas ir iekļautas pamatlīdzekļa vērtībā, var atbalstīt, piemērojot regulu Nr. 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netiek izpildīti šo noteikumu </w:t>
            </w:r>
            <w:r w:rsidR="00000000" w:rsidRPr="00000000" w:rsidDel="00000000">
              <w:rPr>
                <w:rtl w:val="0"/>
              </w:rPr>
              <w:t xml:space="preserve">30.</w:t>
            </w:r>
            <w:r w:rsidR="00000000" w:rsidRPr="00000000" w:rsidDel="00000000">
              <w:rPr>
                <w:rtl w:val="0"/>
              </w:rPr>
              <w:t xml:space="preserve"> punktā noteiktie nosacījumi, ieguldījumu izmaksas notekūdeņu dūņu pārstrādes iekārtās, kuru darbības rezultātā rodas biogāze, ir atbalstāmas saskaņā ar regulas Nr. 651/2014 41. pantu par šo noteikumu </w:t>
            </w:r>
            <w:r w:rsidR="00000000" w:rsidRPr="00000000" w:rsidDel="00000000">
              <w:rPr>
                <w:rtl w:val="0"/>
              </w:rPr>
              <w:t xml:space="preserve">23.1.5.</w:t>
            </w:r>
            <w:r w:rsidR="00000000" w:rsidRPr="00000000" w:rsidDel="00000000">
              <w:rPr>
                <w:rtl w:val="0"/>
              </w:rPr>
              <w:t xml:space="preserve"> apakšpunktā noteiktajām darbībām, un saskaņā ar regulas Nr. 2023/2831 nosacījumiem par šī noteikuma </w:t>
            </w:r>
            <w:r w:rsidR="00000000" w:rsidRPr="00000000" w:rsidDel="00000000">
              <w:rPr>
                <w:rtl w:val="0"/>
              </w:rPr>
              <w:t xml:space="preserve">24.</w:t>
            </w:r>
            <w:r w:rsidR="00000000" w:rsidRPr="00000000" w:rsidDel="00000000">
              <w:rPr>
                <w:rtl w:val="0"/>
              </w:rPr>
              <w:t xml:space="preserve"> punktā noteiktajām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arī atbalstu darbībām, piemēram, dūņu kā atkritumu pārstrāde, ražojot kompostu vai bioogles lauksaimniekiem, kurām atbalsts nekvalificējas kā kompensācija par VTNP sniegšanu, lūdzam pārskatīt noteikumus un darbību īstenošanai nepieciešamo ieguldījumu izmaksu segšanai piemērot regulas Nr. 651/2014 47. pantu "Ieguldījumu atbalsts resursefektivitātei un pārejai uz aprites ekonomiku".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 </w:t>
            </w:r>
            <w:r w:rsidR="00000000" w:rsidRPr="00000000" w:rsidDel="00000000">
              <w:rPr>
                <w:i w:val="1"/>
                <w:rtl w:val="0"/>
              </w:rPr>
              <w:t xml:space="preserve">de minimis</w:t>
            </w:r>
            <w:r w:rsidR="00000000" w:rsidRPr="00000000" w:rsidDel="00000000">
              <w:rPr>
                <w:rtl w:val="0"/>
              </w:rPr>
              <w:t xml:space="preserve"> atbalsts triju fiskālo gadu periodā nepārsniedz 300 000 euro vienam vienotam uzņēmumam, un pirms atbalsta piešķiršanas tiek pārbaudīts, vai kopējais piešķirtais </w:t>
            </w:r>
            <w:r w:rsidR="00000000" w:rsidRPr="00000000" w:rsidDel="00000000">
              <w:rPr>
                <w:i w:val="1"/>
                <w:rtl w:val="0"/>
              </w:rPr>
              <w:t xml:space="preserve">de minimis</w:t>
            </w:r>
            <w:r w:rsidR="00000000" w:rsidRPr="00000000" w:rsidDel="00000000">
              <w:rPr>
                <w:rtl w:val="0"/>
              </w:rPr>
              <w:t xml:space="preserve"> atbalsts šim uzņēmumam (atbilstoši regulas Nr. 2023/2831 2. panta 2. punktā noteiktajai definīcijai) nepārsniedz regulas 3. panta 2. punktā noteikto robežlielumu;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regulas Nr. 2023/2831 preambulas 11. apsvērumu: "</w:t>
            </w:r>
            <w:r w:rsidR="00000000" w:rsidRPr="00000000" w:rsidDel="00000000">
              <w:rPr>
                <w:i w:val="1"/>
                <w:rtl w:val="0"/>
              </w:rPr>
              <w:t xml:space="preserve">Trīs gadu laikposms šīs regulas vajadzībām būtu jāvērtē kā slīdošs periods. Attiecībā uz katru jaunu de minimis atbalsta piešķiršanu jāņem vērā de minimis atbalsta kopsumma, kas piešķirta iepriekšējos trīs gados</w:t>
            </w:r>
            <w:r w:rsidR="00000000" w:rsidRPr="00000000" w:rsidDel="00000000">
              <w:rPr>
                <w:rtl w:val="0"/>
              </w:rPr>
              <w:t xml:space="preserve">.". Attiecīgi lūdzam precizēt noteikumu projekta 38.1. apakšpunktu, nosakot, ka de minimis atbalsts nevienā trīs gadu periodā nepārsniedz 300 000 euro vienam vienotam uzņēmumam.  Lūdzam atbilstoši precizēt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piedāvātās redakcijas piemēru zemāk.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Piešķirot de minimis atbalstu, atbalsta sniedzējs pārbauda, vai plānotais de minimis atbalsts kopā ar iepriekšējos trīs gados, skaitot no atbalsta piešķiršanas dienas, piešķirto de minimis atbalstu viena vienota uzņēmuma līmenī nepārsniedz Komisijas regulas Nr.2023/2831 3.panta 2.punktā noteikto maksimālo de minimis atbalsta apmēru . Viens vienots uzņēmums ir uzņēmums, kas atbilst Komisijas regulas Nr.2023/2831 2.panta 2.punktā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2.2.2. specifiskā atbalsta mērķa “Pārejas uz aprites ekonomiku veicināšana” 2.2.2.3. pasākuma "Notekūdeņu dūņu pārstrāde"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izstrādātais MK noteikumu projekts Nr. 24-TA-2801 joprojām ir saskaņošanā, vienlaikus paredz nosacījumus, kas nodrošinās vides prasībām atbilstošu dūņu centralizētu savākšanu, uzskaiti, analīzi un pārstrādi, organizējot šo procesu ne vairāk kā 27 reģionālajos Dūņu centros, kuros paredzēts sniegt Kohēzijas fonda atbalstu infrastruktūras izveidei vai pilnveidei Eiropas Savienības kohēzijas politikas programmas 2021.–2027. gadam 2.2.2. specifiskā atbalsta mērķa “Pārejas uz aprites ekonomiku veicināšana” 2.2.2.3. pasākuma "Notekūdeņu dūņu pārstrāde" (turpmāk – 2.2.2.3.pasākums) ietvaros, lūdzam Klimata un enerģētikas ministrijai nodrošināt, ka MK noteikumu projekts Nr. 24-TA-2801 tiek apstiprināts pirms vai vismaz vienlaicīgi ar 2.2.2.3.pasākuma MK noteikumiem vai arī, ja 2.2.2.3.pasākuma MK noteikumus plānots apstiprināt ātrāk, aicinām izvērtēt iespēju papildināt protokollēmumu ar punktu, kas nosaka, ka 2.2.2.3.pasākuma MK noteikumi stājas spēkā pēc MK noteikumu projekta Nr. 24-TA-2801 apstiprināšanas.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minimālā attiecināmo izmaksu kopsumma nav ierobežota. Projekta maksimālais Kohēzijas fonda finansējums ir 2 000 000 </w:t>
            </w:r>
            <w:r w:rsidR="00000000" w:rsidRPr="00000000" w:rsidDel="00000000">
              <w:rPr>
                <w:i w:val="1"/>
                <w:rtl w:val="0"/>
              </w:rPr>
              <w:t xml:space="preserve">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Regulas Nr. 2021/1060 53.panta 2.punktam, projektos līdz 200 000 EUR (ieskaitot) visām izmaksām jābūt segtām, piemērojot vienkāršotās izmaksas. Ņemot vēra iepriekšminēto, lūdzam izvērtēt vienkāršoto izmaksu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Oksana Golubeva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ja plānotās darbības atbilst Notekūdeņu dūņu apsaimniekošanas plānam 2024.–2027. gadam – izdevumu un ieguvumu analīzi, kurā pamatota izvēlētā risinājuma atbilstība vides aizsardzības, ekonomiskajiem un ilgtspējas kritērijiem, kā arī norādīts plānotais investīciju apjoms, ieguvumi un sagaidāmie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20.punkta apakšpunktus, ņemot vērā anotācijā noteikto, ka katram projektam ir jābūt ekonomiski pamatotam. līdz ar to ir jāpapildina ar - izmaksu un ieguvumu analīzi.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ja plānotās darbības atbilst Notekūdeņu dūņu apsaimniekošanas plānam 2024.–2027. gadam – izdevumu un ieguvumu analīzi, kurā pamatota izvēlētā risinājuma atbilstība vides aizsardzības, ekonomiskajiem un ilgtspējas kritērijiem, kā arī norādīts plānotais investīciju apjoms, ieguvumi un sagaidāmie rezultāti, ievērojot, ka projekta ekonomiskā ienesīguma norma ir lielāka par sociālo diskonta likmi un projekta ekonomiskā neto pašreizējā vērtība ir lielāka par nulli;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ja plānotās darbības neatbilst Notekūdeņu dūņu apsaimniekošanas plānam 2024.–2027. gadam – Dūņu centra izveides nosacījumu izvērtējumu, ievērojot, ka projekta ekonomiskā ienesīguma norma ir lielāka par sociālo diskonta likmi un projekta ekonomiskā neto pašreizējā vērtība ir lielāka par nulli,  un pašvaldības domes lēmumu par šī risinājuma izvērtējuma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24.3. projekta vadības un administrēšanas nodrošināšana, tai skaitā personāla izmaksas, projekta uzraudzības un koordinācijas aktivitātes, nepārsniedzot 10 procentus no kopējām attiecināmajām izmaksām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vadības un īstenošanas personāla atlīdzības izmaksām piemērot Regulas Nr.2021/1060 55. panta 1.punktā noteikto iespēju, un tās noteikt kā vienoto likmi, ņemot vērā, ka tas samazinās administratīvo slogu visiem iesaistītajiem.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Oksana Golubeva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Ar projekta darbībām tieši saistīto komunikācijas un vizuālās identitātes pasākumu izmaksas nav uzskatāmas par komercdarbības atbalstu. Minētās izmaksas nepārsniedz vienu procentu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vadošās iestādes vadlīniju Nr.1.2. "Vadlīnijas attiecināmo izmaksu noteikšanai Eiropas Savienības kohēzijas politikas programmas 2021.-2027.gada plānošanas periodā" 15. punktam ES fonda projektu komunikācijas un vizuālās identitātes prasību izmaksas attiecināmas kā netiešās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lūdzam šīs izmaksas paredzēt kā projekta netiešās attiecināmās izmaksas vai anotācijā sniegt argumentētu pamatojuma kāpēc šīs izmaksas būtu finansējamas no projekta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Oksana Golubeva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Projekta iesniedzējs iesniedz sadarbības iestādē vispārējas tautsaimnieciskas nozīmes pakalpojuma pilnvarojuma uzlicēja apliecinājumu par šo noteikumu </w:t>
            </w:r>
            <w:r w:rsidR="00000000" w:rsidRPr="00000000" w:rsidDel="00000000">
              <w:rPr>
                <w:rtl w:val="0"/>
              </w:rPr>
              <w:t xml:space="preserve">28.1.7.</w:t>
            </w:r>
            <w:r w:rsidR="00000000" w:rsidRPr="00000000" w:rsidDel="00000000">
              <w:rPr>
                <w:rtl w:val="0"/>
              </w:rPr>
              <w:t xml:space="preserve"> apakšpunktā minētās atlīdzības (kompensācijas) maksājumu kontroli un pārskatīšanu, kā arī minēto atlīdzības (kompensācijas) maksājumu pārmaksas novēršanu un atgūšanu, ievērojot Eiropas Savienības līmenī noteikto pārbaužu regularitāti, bet ne retāk kā reizi trijos gados un pilnvarojuma akta darbības perioda beigās.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turpinās darbs pie administratīvā sloga mazināšanas un vairāk netiks pieprasīts iesniegt sadarbības iestādē VTNP pilnvarojuma uzlicēja apliecinājumu par atlīdzības (kompensācijas) maksājumu kontroli un pārskatīšanu, lūdzam dzēst punktu, kas paredz minētā apliecinājuma iesniegšanu sadarbības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Akmentiņa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Sniedzot atbalstu ar regulu Nr. 2023/2831, ievēro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pretendenta atbilstība atbalsta programmā noteiktajiem de minimis nosacījumiem ir jāvērtē uz atbalsta piešķiršanas brīdi, lūdzam iekļaut noteikumu projektā nosacījumu, kas nosaka, ka atbalsta sniedzējs veic atbalsta pretendenta izvērtēšanu atbilstoši regulas Nr.2023/2831 nosacījumiem uz atbalsta piešķiršanas brīdi.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Lēmumu par atbalsta piešķiršanu saskaņā ar regulu Nr. 2023/2831 var pieņemt līdz 2030. gada 31.decembrim.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49.punktā noteikto projekta īstenošanas termiņu lūdzam precizēt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atbalsta piešķiršanu saskaņā ar regulu Nr. 2023/2831 var pieņemt līdz 2029.gada 31. 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Pērkons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lēmums par atbalsta piešķiršanu tiks pieņemts, sniedzot atbalstu, vai nu ar regulu Nr. 651/2014, vai Komisijas regulu Nr. 2023/2831, vai ar Komisijas lēmumu Nr. 2012/21/ES, lūdzam nekorektas interpretācijas novēršanas nolūkos pārskatīt un precizēt anotāciju pēc nepieciešamības, starp šiem pieminētajiem komercdarbības atbalsta regulējumiem, lietojot saikli “vai”, nevis “un”.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07.10.2025. 19.23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07.10.2025. 19.23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Atzinumi_25-TA-205.docx</dc:title>
</cp:coreProperties>
</file>

<file path=docProps/custom.xml><?xml version="1.0" encoding="utf-8"?>
<Properties xmlns="http://schemas.openxmlformats.org/officeDocument/2006/custom-properties" xmlns:vt="http://schemas.openxmlformats.org/officeDocument/2006/docPropsVTypes"/>
</file>