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Krimināllikumā"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Kokmateriālu ražotāju un tirgotāju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 pants. “</w:t>
            </w:r>
            <w:r w:rsidR="00000000" w:rsidRPr="00000000" w:rsidDel="00000000">
              <w:rPr>
                <w:b w:val="1"/>
                <w:rtl w:val="0"/>
              </w:rPr>
              <w:t xml:space="preserve">115.</w:t>
            </w:r>
            <w:r w:rsidR="00000000" w:rsidRPr="00000000" w:rsidDel="00000000">
              <w:rPr>
                <w:b w:val="1"/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b w:val="1"/>
                <w:rtl w:val="0"/>
              </w:rPr>
              <w:t xml:space="preserve"> pants. Personas atbrīvošana no kriminālatbildības par īpaši aizsargājamo dzīvnieku un augu sugu iznīcināšanu un bojāšanu.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Personu, kas veikusi normatīvajos aktos atļautu saimniecisko darbību, atbrīvo no kriminālatbildības par īpaši aizsargājamo sugu dzīvnieku, augu, sēņu, ķērpju vai īpaši aizsargājamo sugu dzīvotnes vai biotopu nonāvēšanu, bojāšanu vai iznīcināšanu.”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Šāda redakcija, kas pausta 115.prim2 pantā, noņem lielu daļu no iebildumiem, ko esam pauduši iepriekš.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Klauss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25-TA-2349</w:t>
    </w:r>
    <w:r>
      <w:br/>
    </w:r>
    <w:r w:rsidR="00000000" w:rsidRPr="00000000" w:rsidDel="00000000">
      <w:rPr>
        <w:rtl w:val="0"/>
      </w:rPr>
      <w:t xml:space="preserve">Izdrukāts 16.12.2025. 21.53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25-TA-2349</w:t>
    </w:r>
    <w:r>
      <w:br/>
    </w:r>
    <w:r w:rsidR="00000000" w:rsidRPr="00000000" w:rsidDel="00000000">
      <w:rPr>
        <w:rtl w:val="0"/>
      </w:rPr>
      <w:t xml:space="preserve">Izdrukāts 16.12.2025. 21.53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