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2025. gada 1. aprīlī.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15. oktobra starpinstitūciju saskaņošanas sanāksmē panākta vienota izpratne un arī vienošanās, ka pārvaldītājiem ir nepieciešami 3 mēneši, lai sagatavotos paredzētajām izmaiņām ieviešanai pēc tam, kad likuma grozījumi izstrādāti un pieņemti Saeimā galīgajā lasījumā. Pēc tam likumprojektā attiecīgi iekļauts atbilstošs spēkā stāšanās nosacījums. Vienlaikus likumprojekta faktiskā virzība pašlaik jau atšķiras no starpinstitūciju saskaņošanas sanāksmē paustā par virzītāju paredzēto laika plānu (novirze pašlaik ir 1 - 2 mēn. pret sanāksmes laika pieņēmumu).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likuma grozījumu spēkā stāšanos laiku atbilstoši tam, lai pēc grozījumu eventuālās pieņemšanas Saeimā, izmaiņu ieviešanai laiks būtu 3 mēneši (atbilstoši 15.oktobra sanāksmē panāktai vienošanās).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Kerls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29.11.2024.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29.11.2024.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