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Datu izplatīšanas un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devējs ir atbildīgs par tā pārziņā esošās informācijas sistēmas datu, kuri ir iekļauti DAGR datu krātuvē, aktualitāti un atbilstību normatīvajos aktos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devējs nevar būt atbildīgs par citas sistēmas un cita pārziņa datu krātuvē iekļautajiem datiem, jo nepārvalda šīs sistēmas funkcionalitāti un darbības, kuras var tikt veiktas datu glabāšanas vai sistēmas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atbildības jēdzienu un ievērot datu integritātes prasības, kā arī saglabāt datu savstarpējo loģiku.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savienotāja konfigurēšanu ir atbildīgs attiecīgais datu devējs vai datu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terminu “savienotājs”, konkretizējot tā saturu attiecībā uz noteikumu projekta būtību, un precizēt šī punkta jēgu kopumā, saskaņojot to ar noteikumu projekta anotācijā iekļautajiem datu devēja un datu saņēmēja “savienotāju” aprakstiem un, norādot, kādas darbības jāveic “konfigurēšanas”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DAGR ir vienota, centralizēta datu izplatīšanas platforma informācijas aprites funkcijas izpildei starp informācijas sistēmām jebkurā to darbības jomā neatkarīgi no apritē esošās informācijas izmantošanas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apraksts būtiski samazina Valsts informācijas sistēmas likumā noteikto valsts platformas darbības mērķi un saturu, un nenodrošina valsts pārvaldes funkciju vai deleģēto valsts pārvaldes uzdevumu veikšanu, kā arī neatbilst Ministru kabinetam dotajam pilnvarojumam noteikt valsts pārvaldes funkcijas un uzdevumus, kuru izpildei nepieciešama valsts platformas izmantošana. Vadoties no noteikumu projektā un tā anotācijā sniegtās informācijas, DAGR tiek veidota kā starpnieksistēma datu izplatīšanai, kura kā datu izplatīšanas metodi plāno izmantot datu tehniskās kopijas (replikācijas) ar dažām papildus iespējām datu saņemšanai no kopijām. Informācijas aprite ir nepieciešams priekšnoteikums, lai nodrošinātu funkciju un uzdevumu izpildi par to atbildīgajās institūcijās, taču nav uzskatāma par pašpietiekošu funkciju, kura ir veicama neatkarīgi no pakalpojuma vai funkcijas.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DAGR nodrošina vismaz šādu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10.punktā ietvertie apakšpunkti nav attiecināmi uz informācijas sistēmas funkcionalitāti, izņemot noteikumu projekta 10.5. un 10.7. apakšpunktu. Pārējie noteikumu projekta 10.punkta apakšpunkti nosauc DAGR arhitektūras elementus vai programmatūras moduļus. Vienlaicīgi, vērtējot minēto punkta redakciju saistībā ar nodaļas nosaukumu “DAGR darbības kārtība”, neviens no moduļiem vai neviena no funkcijām neļauj saprast DAGR darbības kārtību, kāda būs saistoša datu devējiem vai datu saņēmējiem un nesniedz skaidru atbildi, kā DAGR darbosies.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regulējumu DAGR darbības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Datu krātuve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krātuve ir tehnisks informācijas un kominikāciju tehnoloģijas (turpmāk - IKT) jomas termins. Datu krātuves pašas par sevi nenodrošina savu datu izplatīšanu noteikumu projekta 14.2. apakšpunkta kontekstā, kā arī nenodrošina vienotu datu modeli noteikumu projekta 14.3.apakšpunkta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lūdzamprecizēt noteikumu projekta 14. punkta redakciju atbilstoši IKT jomas terminoloģijai un normai paredzētajai jēgai.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izstrādā un aktualizē DAGR lietošanas noteikumus (turpmāk – lietošanas noteikumi), kuros nosaka vismaz: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DAGR pārzinim uzdotā pilnvarojuma saturu, norādot katra no noteikumu projekta 16.punkta apakšpunktiem būtiskāko saturu un nosacījumus. Esošā redakcija (izņemot 16.8.apakšpunktu), kas nosauc septiņus visiem saistošu dokumentu nosaukumus, neļauj konceptuāli izprast DAGR lietošanas kārtību. Šie lietošanas noteikumi būs saistoši visiem DAGR lietotājiem, tādējādi ir nepieciešams saprast un noteikumu projektā ietvert būtiskākos jautājumus. It īpaši, ja noteikumu projekta 26.punkts noteic, ka datu devējs vai datu saņēmējs piekrīt lietošanas noteikumiem un apņemas ievērot 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Datu devējs vai datu saņēmējs, kas ir pieņēmis lēmumu nodrošināt informācijas apriti, izmantojot DAGR,  par personas datu aprites apjomu vienojas VIRSIS, izmantojot VIRSIS pieejamo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27.punkta redakcija noteic, ka vienošanās notiek tikai par personas datu apriti. No noteikumu projekta un tā 27.punkta redakcijas nav skaidrs, vai, ja ir pieņemts lēmums nodrošināt informācijas apriti, izmantojot DAGR, būs jāslēdz vienošanās par visu DAGR lietoto datu apjomu vai tikai par personas datu apriti. Vienlaikus, atbildību par personas datu apriti nosaka arī noteikumu projekta 4.un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projekta 27.punkta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datu devējs vai datu patērētājs konstatē problēmas DAGR darbībā, tas par identificēto problēmu informē aģentūru atbilstoši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terminu “datu patērētājs”.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DAGR ir iekļautas datu kopas vismaz no šādām informācijas sistēmām apjomā, kas ir noteikts VIRSIS: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30.punkts noteic, ka datu apjomu, kas no katras šajā punktā nosauktajām sistēmām tiks uzkrāts DAGR, noteiks VIRSIS. Ministru kabineta 2019. gada 5.novembra noteikumi Nr.523 “Valsts informācijas resursu, sistēmu un sadarbspējas informācijas sistēmas noteikumi” (spēkā līdz 2022.gada 31.decembrim) neparedz iekļaut VIRSIS šādus datus. Noteikumu projekta anotācijā nav sniegta informācija par minēto noteikumu izdošanu jaunā redakcijā un to konceptuālo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anotācijā norādīto DAGR vienotais datu modelis ir “predefinēta datu struktūra un formāts, kurā tiek nodrošināta datu kopu un atribūtu pievienošana, labošana vai dzēšana, kā arī nepieciešamības gadījumā datu anonimizēšana un pseidonimizēšana”. Saskaņā ar noteikumu projekta 16.5.apakšpunktu DAGR datu modeli pēc noteikumu pieņemšanas izstrādā DAGR pārzinis, un saskaņā ar noteikumu projekta 31.punktu DAGR iesniegtajiem datiem jāatbilst aģentūras noteiktajam DAGR vienotajam datu modelim. Šie nosacījumi ir ļoti būtiski jebkuram datu devējam, jo tie uzliek pienākumu sagatavot un sniegt DAGR nezināma apjoma datus no savas sistēmas DAGR prasītajās formās. Noteikumu projekta 30.punktā uzskaitīto informācijas sistēmu apstrādātais datu apjoms ir ārkārtīgi liels un pilna apjoma informācijas replicēšanu DAGR nevar uzskatīt par lietderīgu.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projektā norādīt kritērijus, pēc kuriem tiks noteikts datu apjoms, kas datu devējam būs jānodod DAGR. Attiecīgi lūdzam noteikumu projekta anotācijā norādīt pamatojumu kritēriju izvēlei, lai noteiktu datu apjomu, kas jānodod DAGR, kā arī norādīt finansējumu, kas būs pieejams datu devējiem noteiktā datu apjoma sagatavošanai un nodošanai DAGR, kā arī norādīt informāciju par turpmāko regulējumu VIRSIS darbībai un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DAGR iesniegtajiem datiem jāatbilst aģentūras noteiktajam DAGR vienotajam datu modelim saskaņā ar aģentūras lietošanas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31.punkta nozīme ir divu obligātu prasību izpilde attiecībā uz datu devēju (ievērot DAGR vienoto datu modeli un nodot datu kopas, kas noteiktas VIRSIS). Noteikumu projektā nav konkretizējošas informācijas par datu modeli (to izstrādās DAGR pārzinis pēc noteikumu pieņemšanas), DAGR nododamo datu kopu apjomu un datu nodošanas regularitāti (noteiks VIRSIS, taču VIRSIS pašlaik tas netiek iekļauts un nav turpmākās informācijas par VIRSIS darbību un tajā iekļauto informāciju pēc 2022.gada 31.decembra).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precīzēt noteikumu projekta 31.punkta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DAGR nodrošina datu devēju datu, tajā skaitā personas datu, apriti elektroniskā vidē, lai īstenotu datu devēja datu apriti atbilstoši datu devējam normatīvajos aktos noteiktajām funkcijām, uzdevumiem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32.punkta gramatiskā redakcija neļauj saprast tā jēgu. Esošā redakcija iespējami nosaka, ka datu devējs, izmantojot DAGR, varēs izpildīt kādu no savām funkcijām vai sniegt kādu pakalpojumu. Realitātē – datu devējs jau izmanto savas informācijas sistēmas datus, ar to integrēto informācijas sistēmu datus un šo datu aprites rezultātā sniedz savas kompetences pakalpojumu. Nav saprotams, kādēļ būtu jādublē esošo funkciju/pakalpojumu izpilde vēl vienā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projekta 32.punkta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apakšsadaļā ir minēts, ka Digitālās transformācijas pamatnostādnes 2021.-2027. gadam ietver būtisku sadaļu attiecībā uz datu pārvaldību, tajā skaitā vienotas datu pārvaldības platformas izveidošanu. Atbilstoša pamatnostādnēs definētā nepieciešamā rīcība ir šāda: “</w:t>
            </w:r>
            <w:r w:rsidR="00000000" w:rsidRPr="00000000" w:rsidDel="00000000">
              <w:rPr>
                <w:i w:val="1"/>
                <w:rtl w:val="0"/>
              </w:rPr>
              <w:t xml:space="preserve">Izveidota unificēta datu pārvaldības infrastruktūra, kurā pēc vienotiem principiem tiek nodrošināta plaša publiskā un privātā sektora datu koplietošana, t.sk. pārrobežu līmenī.</w:t>
            </w:r>
            <w:r w:rsidR="00000000" w:rsidRPr="00000000" w:rsidDel="00000000">
              <w:rPr>
                <w:rtl w:val="0"/>
              </w:rPr>
              <w:t xml:space="preserve">” (4.4.2.3. Rīcības apakšvirziens). Tātad DAGR vajadzētu sekmēt datu koplietošanu ne tikai G2G, bet arī G2B, B2G un B2B kontekstā, turklāt darīt to ne tikai Latvijas, bet arī pārrobežu līmenī. Tomēr no noteikumu projekta un tā anotācijas nav skaidrs, kā (ja vispār) DAGR sekmēs privātā sektora datu koplietošanu un datu koplietošanu pārrobežu līmenī. Fakts, ka noteikumu projekts ir izstrādāts, pamatojoties uz Valsts informācijas sistēmu likuma 18. panta piektās daļas tikai 1. un 2., bet ne 3. punktu, liek domāt, ka nav plānots, ka par datu devējiem un datu saņēmējiem DAGR varēs būt arī privātpersonas, kurām nav deleģēti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skaidrojumu par DAGR, kontekstā ar privātā sektora datu koplietošanu un datu koplietošanu pārrobežu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Logina (LJA)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apakšsadaļā ir skaidrots, ka DAGR projekta īstenošanas pirmajā un otrajā posmā DAGR tiks iekļautas datu kopas no kopumā 23 informācijas sistēmām (noteikumu projekta 30. punktā uzskaitītajām sistēmām), finansējumu attiecīgajai integrācijai nodrošinot DAGR ANM projekta ietvaros. Nav līdz galam skaidrs, kā notiks citu informācijas sistēmu integrācija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par prioritāri integrējamajām sistēmām pieņemot un atbilstošu finansējumu nodrošinot centralizēti (līdzīgi kā attiecībā uz pirmajām 23 sistēmām),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par integrāciju pieņemot un atbilstošu finansējumu nodrošinot katras sistēmas pārzinim pašam,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abējādi.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Logina (LJA)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par to, kā par DAGR datu devēju būs jākļūst vai kļūs citas noteikumu projekta 30.punktā pašlaik nenosauktas informācijas sistēmas, norādot precīzus kritērijus vai nosacījumus (analoģiski tiem, pēc kuriem pašlaik ir izvēlētas noteikumu projekta 30.punktā norādītās sistēmas). Satiksmes ministrijas pieredze projektos, kurus finansē Eiropas finanšu instrumenti un kuru atbildīgā iestāde ir VARAM, liecina, ka šo projektu ietvaros tiek pieprasīts izveidot starpsistēmu risinājumus kā obligātus, kaut gan konkrētajiem risinājumiem nav plaša pielietojuma, nav konstatēta to mērķauditorija, kas vēlētos izmantot šos datus, kā arī nav zināma funkcija/pakalpojums. Taču starpsistēmu risinājumus nākas izstrādāt, finansēt un pēc tam nodrošināt to uzturēšanu.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aprakstā norādītie DAGR raksturojumi neatbilst Valsts informācijas sistēmu likuma 1.panta terminu skaidrojumā valsts platformām noteiktajam darbības mērķim. Datu kopēšana, veiktspējas un pieejamības paaugstināšana un jauni tehniskie datu izplatīšanas mehānismi ir priekšnoteikumi valsts pārvaldes funkcijas vai deleģēta valsts pārvaldes uzdevuma veikšanas efektivitātes paaugstināšanai, taču paši par sevi nenodrošina  institūciju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projekta mērķi atbilstoši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informēt par Ministru kabineta 2015. gada 17. novembra noteikumu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paredzētā projekta "Datu izplatīšanas un pārvaldības platforma (DAGR)" (turpmāk – DAGR projekts) realizāciju, konkrēti norādot tā būtību un saistību ar šo noteikumu projektu. Saskaņā ar DAGR projekta aprakstu tas tiek īstenots, lai uzlabotu datu apmaiņas drošumu un ātrumu. Informācijas sistēmās uzkrātie pamatdati, kuru izmantošana vienotajā publiskās pārvaldes datu telpā ir īpaši intensīva, tiks tehnoloģiski replicēti augstas veiktspējas ātrdarbīgā DAGR datu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DAGR projekta tiesiskais pamats ir Digitālās transformācijas pamatnostādnēs 2021.-2027.gadam noteiktā Nacionālā datu pārvaldības platforma un DAGR projekta rezultātā tā pilnībā tiks izveidota un nodota produkcijā. Lūdzam informēt par DAGR konkrēto funkcionalitāti, nodošanu produkcijā, tās lietotājiem un darbību raksturojošiem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un tam pievienotās anotācijas tekstu sistēmā pēc DAGR projekta realizācijas tiks veiktas izmaiņas. Lūdzam informēt kādas konkrētas izmaiņas tiks veiktas un kāds ir to veikšanas pamatojums, jo noteikumu projektā aprakstīto funkcionalitāti ir paredzēts izveidot jau DAGR projekta ietvaros. Izmaiņas DAGR projektā paredz noteikumu projekta anotācijā ietvertā informācija par Eiropas Savienības Atveseļošanas un noturības mehānisma plāna 2. komponentes “Digitālā transformācija” 2.1. reformu un investīciju virziena “Valsts pārvaldes, t.sk. pašvaldību digitālā transformācija” ietvaros plānoto DAGR attīstības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DAGR būs iespējama arī datu apstrāde tos nododot datu sākotnējā devēja informācijas sistēmai, jo noteikumu projekts un anotācija paredz tikai datu izgūšanu (datu izplatīšanu) no datu sniedzējiem un datu sniegšanu datu saņēmējiem. Funkciju un uzdevumu izpildes rezultātā ļoti bieži saņemtā informācija tiek apstrādāta (mainīta, precizēta, aktualizēta) un to ir nepieciešams nodot "atpakaļ" atbilstošajai institūcijas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apakšsadaļā ir minēts, ka Digitālās transformācijas pamatnostādnes 2021.-2027. gadam ietver būtisku sadaļu attiecībā uz datu pārvaldību, tajā skaitā vienotas datu pārvaldības platformas izveidošanu. Atbilstoša pamatnostādnēs definētā nepieciešamā rīcība ir šāda: “Izveidota unificēta datu pārvaldības infrastruktūra, kurā pēc vienotiem principiem tiek nodrošināta plaša publiskā un privātā sektora datu koplietošana, t.sk. pārrobežu līmenī.” (4.4.2.3. Rīcības apakšvirziens). Tātad DAGR vajadzētu sekmēt datu koplietošanu ne tikai G2G, bet arī G2B, B2G un B2B kontekstā, turklāt darīt to ne tikai Latvijas, bet arī pārrobežu līmenī. Tomēr no noteikumu projekta un tā anotācijas nav skaidrs, kā (ja vispār) DAGR sekmēs privātā sektora datu koplietošanu un datu koplietošanu pārrobežu līmenī. Fakts, ka noteikumu projekts ir izstrādāts, pamatojoties uz Valsts informācijas sistēmu likuma 18. panta piektās daļas 1. un 2.punktu, bet ne 3. punktu, liek domāt, ka nav plānots, ka par datu devējiem un datu saņēmējiem DAGR varēs būt arī privātpersonas, kurām nav deleģēti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anotāciju ar skaidrojumu par DAGR, kontekstā ar privātā sektora datu koplietošanu un datu koplietošanu pārrobežu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apakšsadaļā ir skaidrots, ka DAGR projekta īstenošanas pirmajā un otrajā posmā DAGR tiks iekļautas datu kopas no kopumā 23 informācijas sistēmām (noteikumu projekta 30. punktā uzskaitītajām sistēmām), finansējumu attiecīgajai integrācijai nodrošinot DAGR ANM projekta ietvaros. Nav līdz galam skaidrs, kā notiks citu informācijas sistēmu integrācija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par prioritāri integrējamajām sistēmām pieņemot un atbilstošu finansējumu nodrošinot centralizēti (līdzīgi kā attiecībā uz pirmajām 23 sistēmām),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par integrāciju pieņemot un atbilstošu finansējumu nodrošinot katras sistēmas pārzinim pašam.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Datu devēja savienotājs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ietverts termina “savienotājs” skaidrojums, nav iespējams saprast notekumu projekta 12.punkta jēgu (skatīt 2.iebildumu).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saņēmēja savienotājs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ietverts termina “savienotājs” skaidrojums, nav iespējams saprast notekumu projekta 13.punkta jēgu (skatīt 2.iebildumu).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Magone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09.11.2022. 22.49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22-TA-2640</w:t>
    </w:r>
    <w:r>
      <w:br/>
    </w:r>
    <w:r w:rsidR="00000000" w:rsidRPr="00000000" w:rsidDel="00000000">
      <w:rPr>
        <w:rtl w:val="0"/>
      </w:rPr>
      <w:t xml:space="preserve">Izdrukāts 09.11.2022. 22.49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Atzinumi_22-TA-2640.docx</dc:title>
</cp:coreProperties>
</file>

<file path=docProps/custom.xml><?xml version="1.0" encoding="utf-8"?>
<Properties xmlns="http://schemas.openxmlformats.org/officeDocument/2006/custom-properties" xmlns:vt="http://schemas.openxmlformats.org/officeDocument/2006/docPropsVTypes"/>
</file>