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anotācijas 3.sadaļas tabulu un punktā “Cita informācija” precizēt otrās rindkopas sākumu, norādot, ka Vienotā būves reģistrācijas procesa ieviešanai indikatīvi nepieciešamais finansējums 4 335 000 euro apmēra tiks nodrošināts no 1.3.1.1. pasākumam "IKT risinājumu un pakalpojumu attīstība un iespēju radīšana privātajam sektoram” paredzētā finansējuma.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09.07.2025.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09.07.2025.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